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1"/>
        <w:jc w:val="center"/>
        <w:rPr>
          <w:rFonts w:ascii="思源宋体 CN Light" w:hAnsi="思源宋体 CN Light" w:cs="思源宋体 CN 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pStyle w:val="41"/>
        <w:jc w:val="center"/>
        <w:rPr>
          <w:rFonts w:ascii="思源宋体 CN Light" w:hAnsi="思源宋体 CN Light" w:cs="思源宋体 CN 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pStyle w:val="41"/>
        <w:jc w:val="center"/>
        <w:rPr>
          <w:rFonts w:ascii="思源宋体 CN Light" w:hAnsi="思源宋体 CN Light" w:cs="思源宋体 CN 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ind w:left="0" w:leftChars="0" w:right="1470" w:firstLine="0" w:firstLineChars="0"/>
      </w:pPr>
    </w:p>
    <w:p>
      <w:pPr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960" w:lineRule="auto"/>
        <w:ind w:firstLine="0" w:firstLineChars="0"/>
        <w:jc w:val="center"/>
        <w:rPr>
          <w:rFonts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南平阳光招采平台</w:t>
      </w:r>
    </w:p>
    <w:p>
      <w:pPr>
        <w:spacing w:line="960" w:lineRule="auto"/>
        <w:ind w:firstLine="0" w:firstLineChars="0"/>
        <w:jc w:val="center"/>
        <w:rPr>
          <w:rFonts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供应商操作手册</w:t>
      </w:r>
    </w:p>
    <w:p>
      <w:pPr>
        <w:pStyle w:val="42"/>
        <w:ind w:firstLine="36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2"/>
        <w:ind w:firstLine="36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2"/>
        <w:ind w:firstLine="36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2"/>
        <w:ind w:firstLine="5049" w:firstLineChars="700"/>
        <w:jc w:val="both"/>
        <w:rPr>
          <w:rFonts w:ascii="思源宋体 CN Light" w:hAnsi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FullWidth" w:start="0"/>
          <w:cols w:space="0" w:num="1"/>
          <w:titlePg/>
          <w:docGrid w:type="lines" w:linePitch="312" w:charSpace="0"/>
        </w:sectPr>
      </w:pPr>
      <w:bookmarkStart w:id="0" w:name="_Toc13646"/>
      <w:bookmarkStart w:id="1" w:name="_Toc12576"/>
      <w:bookmarkStart w:id="2" w:name="_Toc18337"/>
    </w:p>
    <w:bookmarkEnd w:id="0"/>
    <w:bookmarkEnd w:id="1"/>
    <w:bookmarkEnd w:id="2"/>
    <w:sdt>
      <w:sdtPr>
        <w:rPr>
          <w:rFonts w:ascii="宋体" w:hAnsi="宋体" w:eastAsia="宋体"/>
          <w:sz w:val="24"/>
        </w:rPr>
        <w:id w:val="147459404"/>
        <w:docPartObj>
          <w:docPartGallery w:val="Table of Contents"/>
          <w:docPartUnique/>
        </w:docPartObj>
      </w:sdtPr>
      <w:sdtEndPr>
        <w:rPr>
          <w:rFonts w:hint="eastAsia" w:ascii="思源宋体 CN Light" w:hAnsi="思源宋体 CN Light" w:eastAsia="思源宋体 CN Light" w:cs="思源宋体 CN Light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</w:sdtEndPr>
      <w:sdtContent>
        <w:p>
          <w:pPr>
            <w:spacing w:line="240" w:lineRule="auto"/>
            <w:ind w:firstLine="0" w:firstLineChars="0"/>
            <w:jc w:val="center"/>
            <w:rPr>
              <w:rFonts w:ascii="宋体" w:hAnsi="宋体" w:eastAsia="宋体"/>
            </w:rPr>
          </w:pPr>
        </w:p>
        <w:p>
          <w:pPr>
            <w:spacing w:line="240" w:lineRule="auto"/>
            <w:ind w:firstLine="0" w:firstLineChars="0"/>
            <w:jc w:val="center"/>
            <w:rPr>
              <w:rFonts w:ascii="宋体" w:hAnsi="宋体" w:eastAsia="宋体"/>
              <w:b/>
              <w:bCs/>
              <w:sz w:val="36"/>
              <w:szCs w:val="44"/>
            </w:rPr>
          </w:pPr>
          <w:r>
            <w:rPr>
              <w:rFonts w:ascii="宋体" w:hAnsi="宋体" w:eastAsia="宋体"/>
              <w:b/>
              <w:bCs/>
              <w:sz w:val="36"/>
              <w:szCs w:val="44"/>
            </w:rPr>
            <w:t>目</w:t>
          </w:r>
          <w:r>
            <w:rPr>
              <w:rFonts w:hint="eastAsia" w:ascii="宋体" w:hAnsi="宋体" w:eastAsia="宋体"/>
              <w:b/>
              <w:bCs/>
              <w:sz w:val="36"/>
              <w:szCs w:val="44"/>
            </w:rPr>
            <w:t xml:space="preserve">  </w:t>
          </w:r>
          <w:r>
            <w:rPr>
              <w:rFonts w:ascii="宋体" w:hAnsi="宋体" w:eastAsia="宋体"/>
              <w:b/>
              <w:bCs/>
              <w:sz w:val="36"/>
              <w:szCs w:val="44"/>
            </w:rPr>
            <w:t>录</w:t>
          </w:r>
        </w:p>
        <w:p>
          <w:pPr>
            <w:pStyle w:val="2"/>
            <w:ind w:left="1470" w:right="1470"/>
          </w:pP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:sz w:val="28"/>
              <w:szCs w:val="24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color w:val="000000" w:themeColor="text1"/>
              <w:sz w:val="28"/>
              <w:szCs w:val="24"/>
              <w14:textFill>
                <w14:solidFill>
                  <w14:schemeClr w14:val="tx1"/>
                </w14:solidFill>
              </w14:textFill>
            </w:rPr>
            <w:instrText xml:space="preserve">TOC \o "1-3" \h \u </w:instrText>
          </w:r>
          <w:r>
            <w:rPr>
              <w:rFonts w:hint="eastAsia" w:ascii="思源宋体 CN Light" w:hAnsi="思源宋体 CN Light" w:cs="思源宋体 CN Light"/>
              <w:color w:val="000000" w:themeColor="text1"/>
              <w:sz w:val="28"/>
              <w:szCs w:val="24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4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  <w:szCs w:val="24"/>
            </w:rPr>
            <w:instrText xml:space="preserve"> HYPERLINK \l _Toc22523 </w:instrText>
          </w:r>
          <w:r>
            <w:rPr>
              <w:rFonts w:hint="eastAsia" w:ascii="思源宋体 CN Light" w:hAnsi="思源宋体 CN Light" w:cs="思源宋体 CN Light"/>
              <w:szCs w:val="24"/>
            </w:rPr>
            <w:fldChar w:fldCharType="separate"/>
          </w:r>
          <w:r>
            <w:rPr>
              <w:rFonts w:hint="eastAsia" w:ascii="思源宋体 CN Light" w:hAnsi="思源宋体 CN Light" w:cs="思源宋体 CN Light"/>
              <w:lang w:val="en-US"/>
            </w:rPr>
            <w:t xml:space="preserve">一、 </w:t>
          </w:r>
          <w:r>
            <w:rPr>
              <w:rFonts w:hint="eastAsia" w:ascii="思源宋体 CN Light" w:hAnsi="思源宋体 CN Light" w:cs="思源宋体 CN Light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_Toc22523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_Toc9291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1.1、 </w:t>
          </w:r>
          <w:r>
            <w:rPr>
              <w:rFonts w:hint="eastAsia" w:ascii="思源宋体 CN Light" w:hAnsi="思源宋体 CN Light" w:cs="思源宋体 CN Light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_Toc9291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_Toc4796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ascii="思源宋体 CN Light" w:hAnsi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1.2、 </w:t>
          </w:r>
          <w:r>
            <w:rPr>
              <w:rFonts w:hint="eastAsia" w:ascii="思源宋体 CN Light" w:hAnsi="思源宋体 CN Light" w:cs="思源宋体 CN Light"/>
            </w:rPr>
            <w:t>证书工具</w:t>
          </w:r>
          <w:r>
            <w:tab/>
          </w:r>
          <w:r>
            <w:fldChar w:fldCharType="begin"/>
          </w:r>
          <w:r>
            <w:instrText xml:space="preserve"> PAGEREF _Toc4796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_Toc25145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1.2.1、 </w:t>
          </w:r>
          <w:r>
            <w:rPr>
              <w:rFonts w:hint="eastAsia" w:ascii="思源宋体 CN Light" w:hAnsi="思源宋体 CN Light" w:cs="思源宋体 CN Light"/>
            </w:rPr>
            <w:t>修改口令</w:t>
          </w:r>
          <w:r>
            <w:tab/>
          </w:r>
          <w:r>
            <w:fldChar w:fldCharType="begin"/>
          </w:r>
          <w:r>
            <w:instrText xml:space="preserve"> PAGEREF _Toc25145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_Toc9350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ascii="思源宋体 CN Light" w:hAnsi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1.3、 </w:t>
          </w:r>
          <w:r>
            <w:rPr>
              <w:rFonts w:hint="eastAsia" w:ascii="思源宋体 CN Light" w:hAnsi="思源宋体 CN Light" w:cs="思源宋体 CN Light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_Toc9350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_Toc1987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1.3.1、 </w:t>
          </w:r>
          <w:r>
            <w:rPr>
              <w:rFonts w:hint="eastAsia" w:ascii="思源宋体 CN Light" w:hAnsi="思源宋体 CN Light" w:cs="思源宋体 CN Light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_Toc1987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_Toc27218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ascii="思源宋体 CN Light" w:hAnsi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1.4、 </w:t>
          </w:r>
          <w:r>
            <w:rPr>
              <w:rFonts w:hint="eastAsia" w:ascii="思源宋体 CN Light" w:hAnsi="思源宋体 CN Light" w:cs="思源宋体 CN 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_Toc27218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_Toc15808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_Toc15808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_Toc12885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_Toc12885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_Toc10083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1.4.3、 </w:t>
          </w:r>
          <w:r>
            <w:rPr>
              <w:rFonts w:hint="eastAsia"/>
            </w:rPr>
            <w:t>兼容性视图设置</w:t>
          </w:r>
          <w:r>
            <w:tab/>
          </w:r>
          <w:r>
            <w:fldChar w:fldCharType="begin"/>
          </w:r>
          <w:r>
            <w:instrText xml:space="preserve"> PAGEREF _Toc10083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_Toc12677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1.4.4、 </w:t>
          </w:r>
          <w:r>
            <w:rPr>
              <w:rFonts w:hint="eastAsia"/>
            </w:rPr>
            <w:t>控制面板设置</w:t>
          </w:r>
          <w:r>
            <w:tab/>
          </w:r>
          <w:r>
            <w:fldChar w:fldCharType="begin"/>
          </w:r>
          <w:r>
            <w:instrText xml:space="preserve"> PAGEREF _Toc12677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_Toc29234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cs="思源宋体 CN Light"/>
              <w:lang w:val="en-US"/>
            </w:rPr>
            <w:t xml:space="preserve">二、 </w:t>
          </w:r>
          <w:r>
            <w:rPr>
              <w:rFonts w:hint="eastAsia" w:ascii="思源宋体 CN Light" w:hAnsi="思源宋体 CN Light" w:cs="思源宋体 CN Light"/>
            </w:rPr>
            <w:t>账号注册与CA绑定</w:t>
          </w:r>
          <w:r>
            <w:tab/>
          </w:r>
          <w:r>
            <w:fldChar w:fldCharType="begin"/>
          </w:r>
          <w:r>
            <w:instrText xml:space="preserve"> PAGEREF _Toc29234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_Toc548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2.1、 </w:t>
          </w:r>
          <w:r>
            <w:rPr>
              <w:rFonts w:hint="eastAsia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_Toc548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_Toc20175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2.2、 </w:t>
          </w:r>
          <w:r>
            <w:rPr>
              <w:rFonts w:hint="eastAsia"/>
            </w:rPr>
            <w:t>CA绑定</w:t>
          </w:r>
          <w:r>
            <w:tab/>
          </w:r>
          <w:r>
            <w:fldChar w:fldCharType="begin"/>
          </w:r>
          <w:r>
            <w:instrText xml:space="preserve"> PAGEREF _Toc20175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_Toc23543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cs="思源宋体 CN Light"/>
              <w:lang w:val="en-US"/>
            </w:rPr>
            <w:t xml:space="preserve">三、 </w:t>
          </w:r>
          <w:r>
            <w:rPr>
              <w:rFonts w:hint="eastAsia" w:ascii="思源宋体 CN Light" w:hAnsi="思源宋体 CN Light" w:cs="思源宋体 CN Light"/>
            </w:rPr>
            <w:t>公告查看、报名与标书下载</w:t>
          </w:r>
          <w:r>
            <w:tab/>
          </w:r>
          <w:r>
            <w:fldChar w:fldCharType="begin"/>
          </w:r>
          <w:r>
            <w:instrText xml:space="preserve"> PAGEREF _Toc23543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_Toc24821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ascii="思源宋体 CN Light" w:hAnsi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3.1、 </w:t>
          </w:r>
          <w:r>
            <w:rPr>
              <w:rFonts w:hint="eastAsia" w:ascii="思源宋体 CN Light" w:hAnsi="思源宋体 CN Light" w:cs="思源宋体 CN Light"/>
            </w:rPr>
            <w:t>公告查看、报名</w:t>
          </w:r>
          <w:r>
            <w:tab/>
          </w:r>
          <w:r>
            <w:fldChar w:fldCharType="begin"/>
          </w:r>
          <w:r>
            <w:instrText xml:space="preserve"> PAGEREF _Toc24821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_Toc31435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ascii="思源宋体 CN Light" w:hAnsi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3.2、 </w:t>
          </w:r>
          <w:r>
            <w:rPr>
              <w:rFonts w:hint="eastAsia" w:ascii="思源宋体 CN Light" w:hAnsi="思源宋体 CN Light" w:cs="思源宋体 CN Light"/>
            </w:rPr>
            <w:t>标书下载</w:t>
          </w:r>
          <w:r>
            <w:tab/>
          </w:r>
          <w:r>
            <w:fldChar w:fldCharType="begin"/>
          </w:r>
          <w:r>
            <w:instrText xml:space="preserve"> PAGEREF _Toc31435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_Toc26699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/>
              <w:lang w:val="en-US"/>
            </w:rPr>
            <w:t xml:space="preserve">四、 </w:t>
          </w:r>
          <w:r>
            <w:t>投标文件制作</w:t>
          </w:r>
          <w:r>
            <w:tab/>
          </w:r>
          <w:r>
            <w:fldChar w:fldCharType="begin"/>
          </w:r>
          <w:r>
            <w:instrText xml:space="preserve"> PAGEREF _Toc26699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_Toc3695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4.1、 </w:t>
          </w:r>
          <w:r>
            <w:rPr>
              <w:rFonts w:hint="eastAsia"/>
            </w:rPr>
            <w:t>前置条件</w:t>
          </w:r>
          <w:r>
            <w:tab/>
          </w:r>
          <w:r>
            <w:fldChar w:fldCharType="begin"/>
          </w:r>
          <w:r>
            <w:instrText xml:space="preserve"> PAGEREF _Toc3695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_Toc12554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4.2、 </w:t>
          </w:r>
          <w:r>
            <w:rPr>
              <w:rFonts w:hint="eastAsia"/>
            </w:rPr>
            <w:t>投标文件制作</w:t>
          </w:r>
          <w:r>
            <w:tab/>
          </w:r>
          <w:r>
            <w:fldChar w:fldCharType="begin"/>
          </w:r>
          <w:r>
            <w:instrText xml:space="preserve"> PAGEREF _Toc12554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_Toc10072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rFonts w:hint="eastAsia"/>
              <w:lang w:val="en-US"/>
            </w:rPr>
            <w:t xml:space="preserve">五、 </w:t>
          </w:r>
          <w:r>
            <w:rPr>
              <w:rFonts w:hint="eastAsia"/>
            </w:rPr>
            <w:t>投标与解密</w:t>
          </w:r>
          <w:r>
            <w:tab/>
          </w:r>
          <w:r>
            <w:fldChar w:fldCharType="begin"/>
          </w:r>
          <w:r>
            <w:instrText xml:space="preserve"> PAGEREF _Toc10072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_Toc4734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5.1、 </w:t>
          </w:r>
          <w:r>
            <w:rPr>
              <w:rFonts w:hint="eastAsia"/>
            </w:rPr>
            <w:t>项目投标</w:t>
          </w:r>
          <w:r>
            <w:tab/>
          </w:r>
          <w:r>
            <w:fldChar w:fldCharType="begin"/>
          </w:r>
          <w:r>
            <w:instrText xml:space="preserve"> PAGEREF _Toc4734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思源宋体 CN Light" w:hAnsi="思源宋体 CN Light" w:cs="思源宋体 CN Light"/>
            </w:rPr>
            <w:instrText xml:space="preserve"> HYPERLINK \l _Toc28039 </w:instrText>
          </w:r>
          <w:r>
            <w:rPr>
              <w:rFonts w:hint="eastAsia" w:ascii="思源宋体 CN Light" w:hAnsi="思源宋体 CN Light" w:cs="思源宋体 CN Light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5.2、 </w:t>
          </w:r>
          <w:r>
            <w:t>开标签到解密</w:t>
          </w:r>
          <w:r>
            <w:tab/>
          </w:r>
          <w:r>
            <w:fldChar w:fldCharType="begin"/>
          </w:r>
          <w:r>
            <w:instrText xml:space="preserve"> PAGEREF _Toc28039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42"/>
            <w:ind w:firstLine="0" w:firstLineChars="0"/>
            <w:rPr>
              <w:rFonts w:ascii="思源宋体 CN Light" w:hAnsi="思源宋体 CN Light" w:cs="思源宋体 CN Light"/>
              <w:color w:val="000000" w:themeColor="text1"/>
              <w:sz w:val="21"/>
              <w:szCs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思源宋体 CN Light" w:hAnsi="思源宋体 CN Light" w:cs="思源宋体 CN Light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pStyle w:val="42"/>
        <w:spacing w:line="240" w:lineRule="auto"/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11" w:type="default"/>
          <w:footerReference r:id="rId12" w:type="default"/>
          <w:pgSz w:w="11906" w:h="16838"/>
          <w:pgMar w:top="1440" w:right="1797" w:bottom="1440" w:left="1797" w:header="624" w:footer="624" w:gutter="0"/>
          <w:pgNumType w:start="1"/>
          <w:cols w:space="720" w:num="1"/>
          <w:docGrid w:type="lines" w:linePitch="312" w:charSpace="0"/>
        </w:sectPr>
      </w:pPr>
    </w:p>
    <w:p>
      <w:pPr>
        <w:pStyle w:val="3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346701609"/>
      <w:bookmarkStart w:id="4" w:name="_Toc404765182"/>
      <w:bookmarkStart w:id="5" w:name="_Toc10555"/>
      <w:bookmarkStart w:id="6" w:name="_Toc404243487"/>
      <w:bookmarkStart w:id="7" w:name="_Toc27751"/>
      <w:bookmarkStart w:id="8" w:name="_Toc22523"/>
      <w:bookmarkStart w:id="9" w:name="_Toc4333"/>
      <w:bookmarkStart w:id="10" w:name="_Toc10889"/>
      <w:bookmarkStart w:id="11" w:name="_Toc334"/>
      <w:bookmarkStart w:id="12" w:name="_Toc404764406"/>
      <w:bookmarkStart w:id="13" w:name="_Toc346183627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</w:pPr>
      <w:bookmarkStart w:id="14" w:name="_Toc11233"/>
      <w:bookmarkStart w:id="15" w:name="_Toc346183629"/>
      <w:bookmarkStart w:id="16" w:name="_Toc404765184"/>
      <w:bookmarkStart w:id="17" w:name="_Toc19015"/>
      <w:bookmarkStart w:id="18" w:name="_Toc13535"/>
      <w:bookmarkStart w:id="19" w:name="_Toc346701611"/>
      <w:bookmarkStart w:id="20" w:name="_Toc9291"/>
      <w:bookmarkStart w:id="21" w:name="_Toc12746"/>
      <w:bookmarkStart w:id="22" w:name="_Toc404243489"/>
      <w:bookmarkStart w:id="23" w:name="_Toc404764408"/>
      <w:bookmarkStart w:id="24" w:name="_Toc28397"/>
      <w:bookmarkStart w:id="25" w:name="_Toc14083"/>
      <w:bookmarkStart w:id="26" w:name="_Toc17009"/>
      <w:bookmarkStart w:id="27" w:name="_Toc4803"/>
      <w:bookmarkStart w:id="28" w:name="_Toc22509"/>
      <w:bookmarkStart w:id="29" w:name="_Toc12385"/>
      <w:bookmarkStart w:id="30" w:name="_Toc346183631"/>
      <w:bookmarkStart w:id="31" w:name="_Toc346701613"/>
      <w:bookmarkStart w:id="32" w:name="_Toc404243491"/>
      <w:bookmarkStart w:id="33" w:name="_Toc570"/>
      <w:bookmarkStart w:id="34" w:name="_Toc404764410"/>
      <w:bookmarkStart w:id="35" w:name="_Toc404765186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>
      <w:r>
        <w:rPr>
          <w:rFonts w:hint="eastAsia"/>
        </w:rPr>
        <w:t>1、在南平阳光招采平台的登陆页面下载驱动，下载位置位于输入密码下方</w:t>
      </w:r>
      <w:r>
        <w:drawing>
          <wp:inline distT="0" distB="0" distL="0" distR="0">
            <wp:extent cx="4505325" cy="37433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2、下载完毕后，双击安装程序</w:t>
      </w:r>
      <w:r>
        <w:drawing>
          <wp:inline distT="0" distB="0" distL="114300" distR="114300">
            <wp:extent cx="692150" cy="851535"/>
            <wp:effectExtent l="0" t="0" r="6350" b="12065"/>
            <wp:docPr id="1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，进入安装页面。</w:t>
      </w:r>
    </w:p>
    <w:p>
      <w:pPr>
        <w:pStyle w:val="60"/>
        <w:rPr>
          <w:rFonts w:hint="default"/>
        </w:rPr>
      </w:pPr>
      <w:r>
        <w:drawing>
          <wp:inline distT="0" distB="0" distL="114300" distR="114300">
            <wp:extent cx="5274945" cy="3660140"/>
            <wp:effectExtent l="0" t="0" r="8255" b="10160"/>
            <wp:docPr id="1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ascii="思源宋体 CN Light" w:hAnsi="思源宋体 CN Light" w:cs="思源宋体 CN Light"/>
          <w:b/>
          <w:color w:val="FF0000"/>
          <w:sz w:val="24"/>
        </w:rPr>
      </w:pPr>
      <w:r>
        <w:rPr>
          <w:rFonts w:hint="eastAsia" w:ascii="思源宋体 CN Light" w:hAnsi="思源宋体 CN Light" w:cs="思源宋体 CN Light"/>
          <w:b/>
          <w:color w:val="FF0000"/>
          <w:sz w:val="24"/>
        </w:rPr>
        <w:t>注：在安装驱动之前，请确保所有浏览器均已关闭。</w:t>
      </w:r>
    </w:p>
    <w:p>
      <w:r>
        <w:rPr>
          <w:rFonts w:hint="eastAsia" w:ascii="思源宋体 CN Light" w:hAnsi="思源宋体 CN Light" w:cs="思源宋体 CN Light"/>
          <w:color w:val="FF0000"/>
        </w:rPr>
        <w:br w:type="page"/>
      </w:r>
    </w:p>
    <w:p>
      <w:pPr>
        <w:ind w:firstLine="0" w:firstLineChars="0"/>
      </w:pPr>
      <w:r>
        <w:rPr>
          <w:rFonts w:hint="eastAsia"/>
        </w:rPr>
        <w:t>3、选中协议，点击“自定义安装”，打开安装目录位置。</w:t>
      </w:r>
      <w:r>
        <w:drawing>
          <wp:inline distT="0" distB="0" distL="0" distR="0">
            <wp:extent cx="5275580" cy="3704590"/>
            <wp:effectExtent l="0" t="0" r="1270" b="0"/>
            <wp:docPr id="224" name="图片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 w:line="240" w:lineRule="auto"/>
        <w:ind w:left="0" w:leftChars="0" w:right="0" w:rightChars="0" w:firstLine="0" w:firstLineChars="0"/>
        <w:jc w:val="center"/>
      </w:pPr>
      <w:r>
        <w:drawing>
          <wp:inline distT="0" distB="0" distL="114300" distR="114300">
            <wp:extent cx="5274945" cy="3596640"/>
            <wp:effectExtent l="0" t="0" r="8255" b="10160"/>
            <wp:docPr id="1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思源宋体 CN Light" w:hAnsi="思源宋体 CN Light" w:cs="思源宋体 CN Light"/>
          <w:b/>
          <w:color w:val="FF0000"/>
        </w:rPr>
      </w:pPr>
      <w:r>
        <w:rPr>
          <w:rFonts w:hint="eastAsia" w:ascii="思源宋体 CN Light" w:hAnsi="思源宋体 CN Light" w:cs="思源宋体 CN Light"/>
          <w:b/>
          <w:color w:val="FF0000"/>
        </w:rPr>
        <w:t>如果不点击“自定义安装”，点击“快速安装”按钮，则直接开始安装驱动，安装位置默认。</w:t>
      </w:r>
    </w:p>
    <w:p>
      <w:r>
        <w:rPr>
          <w:rFonts w:hint="eastAsia"/>
        </w:rPr>
        <w:t>4、自定义安装页面，选择需要安装的目录，点击“立即安装”按钮，开始安装驱动。</w:t>
      </w:r>
    </w:p>
    <w:p>
      <w:pPr>
        <w:ind w:firstLine="0" w:firstLineChars="0"/>
      </w:pPr>
      <w:r>
        <w:drawing>
          <wp:inline distT="0" distB="0" distL="114300" distR="114300">
            <wp:extent cx="5277485" cy="3274060"/>
            <wp:effectExtent l="0" t="0" r="5715" b="2540"/>
            <wp:docPr id="2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ind w:left="0" w:leftChars="0" w:right="1470" w:firstLineChars="0"/>
      </w:pPr>
      <w:r>
        <w:rPr>
          <w:rFonts w:hint="eastAsia"/>
        </w:rPr>
        <w:t>安装“多证融合信任引擎”、“ScSecSeal多格式电子印章系统”。</w:t>
      </w:r>
    </w:p>
    <w:p>
      <w:pPr>
        <w:pStyle w:val="2"/>
        <w:ind w:left="0" w:leftChars="0" w:right="1470" w:firstLine="0" w:firstLineChars="0"/>
      </w:pPr>
      <w:r>
        <w:drawing>
          <wp:inline distT="0" distB="0" distL="114300" distR="114300">
            <wp:extent cx="4794250" cy="3448050"/>
            <wp:effectExtent l="0" t="0" r="6350" b="6350"/>
            <wp:docPr id="1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</w:pPr>
      <w:r>
        <w:drawing>
          <wp:inline distT="0" distB="0" distL="114300" distR="114300">
            <wp:extent cx="4794250" cy="3448050"/>
            <wp:effectExtent l="0" t="0" r="6350" b="6350"/>
            <wp:docPr id="2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r>
        <w:rPr>
          <w:rFonts w:hint="eastAsia"/>
        </w:rPr>
        <w:t>5、驱动安装完成后，打开完成界面。</w:t>
      </w:r>
    </w:p>
    <w:p>
      <w:pPr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8255" b="6350"/>
            <wp:docPr id="2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0" w:firstLineChars="0"/>
        <w:jc w:val="center"/>
        <w:rPr>
          <w:rFonts w:ascii="思源宋体 CN Light" w:hAnsi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华文楷体" w:hAnsi="华文楷体" w:eastAsia="华文楷体" w:cs="宋体-WinCharSetFFFF-H"/>
          <w:kern w:val="0"/>
          <w:sz w:val="24"/>
        </w:rPr>
      </w:pPr>
      <w:r>
        <w:rPr>
          <w:rFonts w:hint="eastAsia"/>
        </w:rPr>
        <w:t>6、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点击“完成”按钮，</w:t>
      </w:r>
      <w:r>
        <w:rPr>
          <w:rFonts w:hint="eastAsia" w:ascii="华文楷体" w:hAnsi="华文楷体" w:eastAsia="华文楷体" w:cs="宋体-WinCharSetFFFF-H"/>
          <w:kern w:val="0"/>
          <w:sz w:val="24"/>
        </w:rPr>
        <w:t>自动多格式电子印章系统、多证融合信任引擎（在右下角托盘处）、检测工具（南平招采版）的安装。（</w:t>
      </w:r>
      <w:r>
        <w:rPr>
          <w:rFonts w:hint="eastAsia" w:ascii="华文楷体" w:hAnsi="华文楷体" w:eastAsia="华文楷体" w:cs="宋体-WinCharSetFFFF-H"/>
          <w:color w:val="FF0000"/>
          <w:kern w:val="0"/>
          <w:sz w:val="24"/>
        </w:rPr>
        <w:t>若签章工具不能正常显示图标，请切换磁盘重新安装驱动工具</w:t>
      </w:r>
      <w:r>
        <w:rPr>
          <w:rFonts w:hint="eastAsia" w:ascii="华文楷体" w:hAnsi="华文楷体" w:eastAsia="华文楷体" w:cs="宋体-WinCharSetFFFF-H"/>
          <w:kern w:val="0"/>
          <w:sz w:val="24"/>
        </w:rPr>
        <w:t>）</w:t>
      </w:r>
    </w:p>
    <w:p>
      <w:r>
        <w:drawing>
          <wp:inline distT="0" distB="0" distL="114300" distR="114300">
            <wp:extent cx="1962150" cy="914400"/>
            <wp:effectExtent l="0" t="0" r="6350" b="0"/>
            <wp:docPr id="2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200" cy="203200"/>
            <wp:effectExtent l="0" t="0" r="0" b="0"/>
            <wp:docPr id="2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4050"/>
      <w:bookmarkStart w:id="37" w:name="_Toc4796"/>
      <w:bookmarkStart w:id="38" w:name="_Toc16803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证书工具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>
      <w:pPr>
        <w:pStyle w:val="5"/>
        <w:widowControl/>
        <w:tabs>
          <w:tab w:val="clear" w:pos="567"/>
        </w:tabs>
      </w:pPr>
      <w:bookmarkStart w:id="39" w:name="_Toc404765187"/>
      <w:bookmarkStart w:id="40" w:name="_Toc404243492"/>
      <w:bookmarkStart w:id="41" w:name="_Toc8419"/>
      <w:bookmarkStart w:id="42" w:name="_Toc7908"/>
      <w:bookmarkStart w:id="43" w:name="_Toc7014"/>
      <w:bookmarkStart w:id="44" w:name="_Toc25145"/>
      <w:bookmarkStart w:id="45" w:name="_Toc346701614"/>
      <w:bookmarkStart w:id="46" w:name="_Toc346183632"/>
      <w:bookmarkStart w:id="47" w:name="_Toc27212"/>
      <w:bookmarkStart w:id="48" w:name="_Toc7222"/>
      <w:bookmarkStart w:id="49" w:name="_Toc404764411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修改口令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>
      <w:r>
        <w:rPr>
          <w:rFonts w:hint="eastAsia"/>
        </w:rPr>
        <w:t>口令相当于证书</w:t>
      </w:r>
      <w:r>
        <w:t>Key</w:t>
      </w:r>
      <w:r>
        <w:rPr>
          <w:rFonts w:hint="eastAsia"/>
        </w:rPr>
        <w:t>的密码，需要妥善保管，新发出的证书</w:t>
      </w:r>
      <w:r>
        <w:t>Key</w:t>
      </w:r>
      <w:r>
        <w:rPr>
          <w:rFonts w:hint="eastAsia"/>
        </w:rPr>
        <w:t>的密码是</w:t>
      </w:r>
      <w:r>
        <w:rPr>
          <w:b/>
          <w:color w:val="FF0000"/>
        </w:rPr>
        <w:t>111111</w:t>
      </w:r>
      <w:r>
        <w:rPr>
          <w:rFonts w:hint="eastAsia"/>
        </w:rPr>
        <w:t>（</w:t>
      </w:r>
      <w:r>
        <w:t>6</w:t>
      </w:r>
      <w:r>
        <w:rPr>
          <w:rFonts w:hint="eastAsia"/>
        </w:rPr>
        <w:t>个</w:t>
      </w:r>
      <w:r>
        <w:t>1</w:t>
      </w:r>
      <w:r>
        <w:rPr>
          <w:rFonts w:hint="eastAsia"/>
        </w:rPr>
        <w:t>），为了您的证书的安全，</w:t>
      </w:r>
      <w:r>
        <w:rPr>
          <w:rFonts w:hint="eastAsia"/>
          <w:b/>
          <w:color w:val="FF0000"/>
        </w:rPr>
        <w:t>请立即修改密码</w:t>
      </w:r>
      <w:r>
        <w:rPr>
          <w:rFonts w:hint="eastAsia"/>
        </w:rPr>
        <w:t>，如下图：</w:t>
      </w:r>
    </w:p>
    <w:p>
      <w:pPr>
        <w:pStyle w:val="60"/>
        <w:rPr>
          <w:rFonts w:hint="default"/>
        </w:rPr>
      </w:pPr>
      <w:r>
        <w:drawing>
          <wp:inline distT="0" distB="0" distL="114300" distR="114300">
            <wp:extent cx="3098800" cy="2216150"/>
            <wp:effectExtent l="0" t="0" r="0" b="6350"/>
            <wp:docPr id="2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4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50" w:name="_Toc346701615"/>
      <w:bookmarkStart w:id="51" w:name="_Toc20113"/>
      <w:bookmarkStart w:id="52" w:name="_Toc6312"/>
      <w:bookmarkStart w:id="53" w:name="_Toc2233"/>
      <w:bookmarkStart w:id="54" w:name="_Toc22240"/>
      <w:bookmarkStart w:id="55" w:name="_Toc404765188"/>
      <w:bookmarkStart w:id="56" w:name="_Toc9350"/>
      <w:bookmarkStart w:id="57" w:name="_Toc908"/>
      <w:bookmarkStart w:id="58" w:name="_Toc404243493"/>
      <w:bookmarkStart w:id="59" w:name="_Toc404764412"/>
      <w:bookmarkStart w:id="60" w:name="_Toc346183633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检测工具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>
      <w:pPr>
        <w:pStyle w:val="5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61" w:name="_Toc20629"/>
      <w:bookmarkStart w:id="62" w:name="_Toc28336"/>
      <w:bookmarkStart w:id="63" w:name="_Toc29933"/>
      <w:bookmarkStart w:id="64" w:name="_Toc404243494"/>
      <w:bookmarkStart w:id="65" w:name="_Toc1987"/>
      <w:bookmarkStart w:id="66" w:name="_Toc18322"/>
      <w:bookmarkStart w:id="67" w:name="_Toc404765189"/>
      <w:bookmarkStart w:id="68" w:name="_Toc346701616"/>
      <w:bookmarkStart w:id="69" w:name="_Toc346183634"/>
      <w:bookmarkStart w:id="70" w:name="_Toc9567"/>
      <w:bookmarkStart w:id="71" w:name="_Toc404764413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启动检测工具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>
      <w:pPr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用户可以点击桌面上的新点检测工具图标来启动检测工具。如下图：</w:t>
      </w:r>
    </w:p>
    <w:p>
      <w:pPr>
        <w:pStyle w:val="60"/>
        <w:rPr>
          <w:rFonts w:hint="default"/>
        </w:rPr>
      </w:pPr>
      <w:r>
        <w:drawing>
          <wp:inline distT="0" distB="0" distL="114300" distR="114300">
            <wp:extent cx="692150" cy="901700"/>
            <wp:effectExtent l="0" t="0" r="6350" b="0"/>
            <wp:docPr id="2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检测工具是用来检测客户环境上是否成功的设置了可信任站点，是否安装了一些必要的控件，检测您的证书Key 是否有效，检测您的证书Key 能否成功盖章。用户可以点击桌面上的检测工具图标来启动检测工具。</w:t>
      </w:r>
    </w:p>
    <w:p>
      <w:r>
        <w:rPr>
          <w:rFonts w:hint="eastAsia"/>
        </w:rPr>
        <w:br w:type="page"/>
      </w:r>
    </w:p>
    <w:p>
      <w:pPr>
        <w:autoSpaceDE w:val="0"/>
        <w:autoSpaceDN w:val="0"/>
        <w:adjustRightInd w:val="0"/>
        <w:ind w:firstLine="480"/>
        <w:rPr>
          <w:rFonts w:ascii="思源宋体 CN Light" w:hAnsi="思源宋体 CN Light" w:cs="思源宋体 CN Light"/>
          <w:sz w:val="24"/>
        </w:rPr>
      </w:pPr>
      <w:r>
        <w:rPr>
          <w:rFonts w:hint="eastAsia" w:ascii="思源宋体 CN Light" w:hAnsi="思源宋体 CN Light" w:cs="思源宋体 CN Light"/>
          <w:sz w:val="24"/>
        </w:rPr>
        <w:t>点击一键检测：</w:t>
      </w:r>
    </w:p>
    <w:p>
      <w:pPr>
        <w:pStyle w:val="60"/>
        <w:rPr>
          <w:rFonts w:hint="default"/>
        </w:rPr>
      </w:pPr>
      <w:r>
        <w:drawing>
          <wp:inline distT="0" distB="0" distL="114300" distR="114300">
            <wp:extent cx="5271770" cy="3325495"/>
            <wp:effectExtent l="0" t="0" r="11430" b="1905"/>
            <wp:docPr id="2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思源宋体 CN Light" w:hAnsi="思源宋体 CN Light" w:cs="思源宋体 CN Light"/>
          <w:szCs w:val="21"/>
        </w:rPr>
      </w:pPr>
      <w:r>
        <w:rPr>
          <w:rFonts w:hint="eastAsia" w:ascii="思源宋体 CN Light" w:hAnsi="思源宋体 CN Light" w:cs="思源宋体 CN Light"/>
          <w:szCs w:val="21"/>
        </w:rPr>
        <w:t>一键检测页面：</w:t>
      </w:r>
    </w:p>
    <w:p>
      <w:pPr>
        <w:autoSpaceDE w:val="0"/>
        <w:autoSpaceDN w:val="0"/>
        <w:adjustRightInd w:val="0"/>
        <w:ind w:firstLine="0" w:firstLineChars="0"/>
        <w:rPr>
          <w:rFonts w:ascii="思源宋体 CN Light" w:hAnsi="思源宋体 CN Light" w:cs="思源宋体 CN Light"/>
          <w:kern w:val="0"/>
          <w:szCs w:val="21"/>
        </w:rPr>
      </w:pPr>
      <w:r>
        <w:drawing>
          <wp:inline distT="0" distB="0" distL="114300" distR="114300">
            <wp:extent cx="5271770" cy="3325495"/>
            <wp:effectExtent l="0" t="0" r="11430" b="1905"/>
            <wp:docPr id="2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“证书检测”检测该证书Key 是否可以正常使用。</w:t>
      </w:r>
    </w:p>
    <w:p>
      <w:r>
        <w:rPr>
          <w:rFonts w:hint="eastAsia"/>
        </w:rPr>
        <w:t>“系统检测”，该页面主要是进行可信任站点的设置。如果显示都是打钩，就证明已经设置成功。</w:t>
      </w:r>
    </w:p>
    <w:p>
      <w:r>
        <w:rPr>
          <w:rFonts w:hint="eastAsia"/>
        </w:rPr>
        <w:t>“控件检测”，如果以上都是打勾，系统所需要控件都安装完毕了。其中证书Key 驱动需要把您的证书Key 插好以后才可以检测出来。</w:t>
      </w:r>
    </w:p>
    <w:p>
      <w:r>
        <w:rPr>
          <w:rFonts w:hint="eastAsia"/>
        </w:rPr>
        <w:t>“签章显示”，此页面是用于测试您的证书Key 是否可以正常盖章，请点击“电子签章”，在出现的窗口中，选择签章的名称和签章的模式，并输入您的证书Key 的密码。点击“确认”按钮，签章成功。</w:t>
      </w:r>
    </w:p>
    <w:p>
      <w:pPr>
        <w:ind w:firstLine="0" w:firstLineChars="0"/>
        <w:rPr>
          <w:rFonts w:ascii="思源宋体 CN Light" w:hAnsi="思源宋体 CN Light" w:cs="思源宋体 CN Light"/>
          <w:kern w:val="0"/>
          <w:szCs w:val="21"/>
        </w:rPr>
      </w:pPr>
    </w:p>
    <w:p>
      <w:pPr>
        <w:ind w:firstLine="0" w:firstLineChars="0"/>
        <w:rPr>
          <w:rFonts w:ascii="思源宋体 CN Light" w:hAnsi="思源宋体 CN Light" w:cs="思源宋体 CN Light"/>
          <w:szCs w:val="21"/>
        </w:rPr>
      </w:pPr>
      <w:r>
        <w:drawing>
          <wp:inline distT="0" distB="0" distL="114300" distR="114300">
            <wp:extent cx="5274945" cy="3306445"/>
            <wp:effectExtent l="0" t="0" r="8255" b="8255"/>
            <wp:docPr id="2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如果能成功加盖印章，则证明您的证书Key 没有问题。</w:t>
      </w:r>
    </w:p>
    <w:p>
      <w:pPr>
        <w:autoSpaceDE w:val="0"/>
        <w:autoSpaceDN w:val="0"/>
        <w:adjustRightInd w:val="0"/>
        <w:ind w:firstLine="0" w:firstLineChars="0"/>
        <w:rPr>
          <w:rFonts w:ascii="思源宋体 CN Light" w:hAnsi="思源宋体 CN Light" w:cs="思源宋体 CN Light"/>
          <w:kern w:val="0"/>
          <w:sz w:val="24"/>
        </w:rPr>
      </w:pPr>
      <w:r>
        <w:drawing>
          <wp:inline distT="0" distB="0" distL="114300" distR="114300">
            <wp:extent cx="5274945" cy="3306445"/>
            <wp:effectExtent l="0" t="0" r="8255" b="8255"/>
            <wp:docPr id="2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72" w:name="_Toc1111"/>
      <w:bookmarkStart w:id="73" w:name="_Toc404764418"/>
      <w:bookmarkStart w:id="74" w:name="_Toc7666"/>
      <w:bookmarkStart w:id="75" w:name="_Toc404243499"/>
      <w:bookmarkStart w:id="76" w:name="_Toc12312"/>
      <w:bookmarkStart w:id="77" w:name="_Toc27218"/>
      <w:bookmarkStart w:id="78" w:name="_Toc346701621"/>
      <w:bookmarkStart w:id="79" w:name="_Toc346183639"/>
      <w:bookmarkStart w:id="80" w:name="_Toc28229"/>
      <w:bookmarkStart w:id="81" w:name="_Toc404765194"/>
      <w:bookmarkStart w:id="82" w:name="_Toc32416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>
      <w:pPr>
        <w:pStyle w:val="5"/>
        <w:widowControl/>
        <w:tabs>
          <w:tab w:val="left" w:pos="0"/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15808"/>
      <w:bookmarkStart w:id="84" w:name="_Toc346183640"/>
      <w:bookmarkStart w:id="85" w:name="_Toc21598"/>
      <w:bookmarkStart w:id="86" w:name="_Toc24190"/>
      <w:bookmarkStart w:id="87" w:name="_Toc26319"/>
      <w:bookmarkStart w:id="88" w:name="_Toc404243500"/>
      <w:bookmarkStart w:id="89" w:name="_Toc29832"/>
      <w:bookmarkStart w:id="90" w:name="_Toc346701622"/>
      <w:bookmarkStart w:id="91" w:name="_Toc404764419"/>
      <w:bookmarkStart w:id="92" w:name="_Toc404765195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42"/>
        <w:rPr>
          <w:b/>
          <w:color w:val="FF0000"/>
          <w:sz w:val="22"/>
        </w:rPr>
      </w:pPr>
      <w:r>
        <w:rPr>
          <w:rFonts w:hint="eastAsia"/>
          <w:b/>
          <w:color w:val="FF0000"/>
          <w:sz w:val="22"/>
        </w:rPr>
        <w:t>请使用</w:t>
      </w:r>
      <w:r>
        <w:rPr>
          <w:b/>
          <w:color w:val="FF0000"/>
          <w:sz w:val="22"/>
        </w:rPr>
        <w:t>IE9</w:t>
      </w:r>
      <w:r>
        <w:rPr>
          <w:rFonts w:hint="eastAsia"/>
          <w:b/>
          <w:color w:val="FF0000"/>
          <w:sz w:val="22"/>
        </w:rPr>
        <w:t>版本以上的浏览器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、打开浏览器，在“</w:t>
      </w:r>
      <w:r>
        <w:rPr>
          <w:rFonts w:hint="eastAsia"/>
          <w:b/>
          <w:color w:val="FF0000"/>
        </w:rPr>
        <w:t>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→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b/>
          <w:color w:val="FF0000"/>
        </w:rPr>
        <w:t>Internet</w:t>
      </w:r>
      <w:r>
        <w:rPr>
          <w:rFonts w:hint="eastAsia"/>
          <w:b/>
          <w:color w:val="FF0000"/>
        </w:rPr>
        <w:t>选项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3810" b="1905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/>
          <w:color w:val="FF0000"/>
        </w:rPr>
        <w:t>安全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”选项卡，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11430" b="13335"/>
            <wp:docPr id="9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击绿色的“</w:t>
      </w:r>
      <w:r>
        <w:rPr>
          <w:rFonts w:hint="eastAsia"/>
          <w:b/>
          <w:color w:val="FF0000"/>
        </w:rPr>
        <w:t>可信站点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”的图片，如下图：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5715"/>
            <wp:docPr id="1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/>
          <w:color w:val="FF0000"/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540250" cy="3994150"/>
            <wp:effectExtent l="0" t="0" r="6350" b="6350"/>
            <wp:docPr id="2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27.151.4.9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，然后点击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3912870"/>
            <wp:effectExtent l="0" t="0" r="9525" b="11430"/>
            <wp:docPr id="1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535045"/>
            <wp:effectExtent l="0" t="0" r="6350" b="8255"/>
            <wp:docPr id="1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11430" b="13335"/>
            <wp:docPr id="20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“常规”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</w:pPr>
      <w:r>
        <w:drawing>
          <wp:inline distT="0" distB="0" distL="114300" distR="114300">
            <wp:extent cx="3096260" cy="4411980"/>
            <wp:effectExtent l="0" t="0" r="12700" b="7620"/>
            <wp:docPr id="20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在“</w:t>
      </w:r>
      <w:r>
        <w:rPr>
          <w:rFonts w:hint="eastAsia"/>
          <w:b/>
          <w:color w:val="FF0000"/>
        </w:rPr>
        <w:t>常规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”选项卡中选择“设置”，弹出“</w:t>
      </w:r>
      <w:r>
        <w:rPr>
          <w:rFonts w:hint="eastAsia"/>
          <w:b/>
          <w:color w:val="FF0000"/>
        </w:rPr>
        <w:t>网站数据设置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”弹窗，在弹窗中选择“每次访问网页时”，点击【确定】，完成浏览器配置。如下图：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3677920"/>
            <wp:effectExtent l="0" t="0" r="7620" b="10160"/>
            <wp:docPr id="2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tabs>
          <w:tab w:val="left" w:pos="0"/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3" w:name="_Toc32528"/>
      <w:bookmarkStart w:id="94" w:name="_Toc404765196"/>
      <w:bookmarkStart w:id="95" w:name="_Toc30821"/>
      <w:bookmarkStart w:id="96" w:name="_Toc404764420"/>
      <w:bookmarkStart w:id="97" w:name="_Toc12885"/>
      <w:bookmarkStart w:id="98" w:name="_Toc346183641"/>
      <w:bookmarkStart w:id="99" w:name="_Toc346701623"/>
      <w:bookmarkStart w:id="100" w:name="_Toc404243501"/>
      <w:bookmarkStart w:id="101" w:name="_Toc6007"/>
      <w:bookmarkStart w:id="102" w:name="_Toc26454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关闭弹出窗口阻止程序的操作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42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7620"/>
            <wp:docPr id="22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widowControl/>
        <w:tabs>
          <w:tab w:val="left" w:pos="0"/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03" w:name="_Toc10083"/>
      <w:bookmarkStart w:id="104" w:name="_Toc11748"/>
      <w:bookmarkStart w:id="105" w:name="_Toc18621"/>
      <w:bookmarkStart w:id="106" w:name="_Toc1759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兼容性视图设置</w:t>
      </w:r>
      <w:bookmarkEnd w:id="103"/>
      <w:bookmarkEnd w:id="104"/>
      <w:bookmarkEnd w:id="105"/>
      <w:bookmarkEnd w:id="106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兼容性视图设置，添加访问平台的地址。如下图：</w:t>
      </w:r>
    </w:p>
    <w:p>
      <w:r>
        <w:drawing>
          <wp:inline distT="0" distB="0" distL="114300" distR="114300">
            <wp:extent cx="4278630" cy="5499735"/>
            <wp:effectExtent l="0" t="0" r="3810" b="1905"/>
            <wp:docPr id="2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tabs>
          <w:tab w:val="left" w:pos="0"/>
          <w:tab w:val="clear" w:pos="567"/>
        </w:tabs>
      </w:pPr>
      <w:bookmarkStart w:id="107" w:name="_Toc9933"/>
      <w:bookmarkStart w:id="108" w:name="_Toc12677"/>
      <w:bookmarkStart w:id="109" w:name="_Toc15517"/>
      <w:bookmarkStart w:id="110" w:name="_Toc1926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控制面板设置</w:t>
      </w:r>
      <w:bookmarkEnd w:id="107"/>
      <w:bookmarkEnd w:id="108"/>
      <w:bookmarkEnd w:id="109"/>
      <w:bookmarkEnd w:id="11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</w:p>
    <w:p>
      <w:pPr>
        <w:ind w:firstLine="0" w:firstLineChars="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控制面板-操作中心</w:t>
      </w:r>
      <w:r>
        <w:rPr>
          <w:rFonts w:hint="eastAsia" w:ascii="宋体" w:hAnsi="宋体" w:eastAsia="宋体" w:cs="宋体"/>
          <w:sz w:val="24"/>
        </w:rPr>
        <w:t>（或安全与维护）</w:t>
      </w:r>
      <w:r>
        <w:rPr>
          <w:rFonts w:ascii="宋体" w:hAnsi="宋体" w:eastAsia="宋体" w:cs="宋体"/>
          <w:sz w:val="24"/>
        </w:rPr>
        <w:t>-更改用户控制设置-从永不通知设置为-始终通知或者每次打开提醒</w:t>
      </w:r>
      <w:r>
        <w:rPr>
          <w:rFonts w:hint="eastAsia" w:ascii="宋体" w:hAnsi="宋体" w:eastAsia="宋体" w:cs="宋体"/>
          <w:sz w:val="24"/>
        </w:rPr>
        <w:t>。设置完请重启电脑。</w:t>
      </w:r>
    </w:p>
    <w:p>
      <w:pPr>
        <w:pStyle w:val="2"/>
        <w:ind w:left="0" w:leftChars="0" w:right="147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控制面板打开后点击右上角类别切换为大图标</w:t>
      </w:r>
    </w:p>
    <w:p>
      <w:pPr>
        <w:pStyle w:val="2"/>
        <w:ind w:left="0" w:leftChars="0" w:right="1470" w:firstLine="0" w:firstLineChars="0"/>
      </w:pPr>
      <w:r>
        <w:drawing>
          <wp:inline distT="0" distB="0" distL="114300" distR="114300">
            <wp:extent cx="4786630" cy="1462405"/>
            <wp:effectExtent l="0" t="0" r="13970" b="635"/>
            <wp:docPr id="2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rcRect b="31270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找到操作中心（或安全与维护）点击打开</w:t>
      </w:r>
    </w:p>
    <w:p>
      <w:pPr>
        <w:pStyle w:val="2"/>
        <w:ind w:left="0" w:leftChars="0" w:right="1470" w:firstLine="0" w:firstLineChars="0"/>
      </w:pPr>
      <w:r>
        <w:drawing>
          <wp:inline distT="0" distB="0" distL="114300" distR="114300">
            <wp:extent cx="4547870" cy="2106930"/>
            <wp:effectExtent l="0" t="0" r="8890" b="11430"/>
            <wp:docPr id="2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找到左侧更改用户控制设置，将进度条拉到最高</w:t>
      </w:r>
    </w:p>
    <w:p>
      <w:pPr>
        <w:ind w:firstLine="0" w:firstLineChars="0"/>
      </w:pPr>
      <w:r>
        <w:rPr>
          <w:rFonts w:cstheme="minorBidi"/>
          <w:sz w:val="28"/>
          <w:szCs w:val="32"/>
        </w:rPr>
        <w:drawing>
          <wp:inline distT="0" distB="0" distL="114300" distR="114300">
            <wp:extent cx="5071110" cy="3073400"/>
            <wp:effectExtent l="0" t="0" r="3810" b="5080"/>
            <wp:docPr id="239" name="图片 239" descr="b8ef792844d288aca3733766090f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b8ef792844d288aca3733766090f0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CA证书驱动及浏览器环境设置完毕。</w:t>
      </w:r>
    </w:p>
    <w:p>
      <w:pPr>
        <w:pStyle w:val="3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11" w:name="_Toc29234"/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账号注册与CA绑定</w:t>
      </w:r>
      <w:bookmarkEnd w:id="111"/>
    </w:p>
    <w:p>
      <w:pPr>
        <w:pStyle w:val="4"/>
      </w:pPr>
      <w:bookmarkStart w:id="112" w:name="_Toc548"/>
      <w:r>
        <w:rPr>
          <w:rFonts w:hint="eastAsia"/>
        </w:rPr>
        <w:t>账号注册</w:t>
      </w:r>
      <w:bookmarkEnd w:id="112"/>
    </w:p>
    <w:p>
      <w:pPr>
        <w:ind w:firstLine="422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  <w:b/>
          <w:bCs/>
        </w:rPr>
        <w:t>基本功能：</w:t>
      </w:r>
      <w:r>
        <w:rPr>
          <w:rFonts w:hint="eastAsia" w:ascii="思源宋体 CN Light" w:hAnsi="思源宋体 CN Light" w:cs="思源宋体 CN Light"/>
        </w:rPr>
        <w:t>注册供应商账号</w:t>
      </w:r>
    </w:p>
    <w:p>
      <w:pPr>
        <w:pStyle w:val="2"/>
        <w:ind w:left="0" w:leftChars="0" w:right="1470" w:firstLineChars="0"/>
        <w:rPr>
          <w:rFonts w:ascii="思源宋体 CN Light" w:hAnsi="思源宋体 CN Light" w:cs="思源宋体 CN Light"/>
          <w:b/>
          <w:bCs/>
        </w:rPr>
      </w:pPr>
      <w:r>
        <w:rPr>
          <w:rFonts w:hint="eastAsia" w:ascii="思源宋体 CN Light" w:hAnsi="思源宋体 CN Light" w:cs="思源宋体 CN Light"/>
          <w:b/>
          <w:bCs/>
        </w:rPr>
        <w:t>操作步骤：</w:t>
      </w:r>
    </w:p>
    <w:p>
      <w:pPr>
        <w:pStyle w:val="2"/>
        <w:numPr>
          <w:ilvl w:val="0"/>
          <w:numId w:val="3"/>
        </w:numPr>
        <w:spacing w:line="240" w:lineRule="auto"/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t>点击会员端首页登录下方的“免费注册”按钮，进入供应商注册页面；</w:t>
      </w:r>
    </w:p>
    <w:p>
      <w:pPr>
        <w:pStyle w:val="2"/>
        <w:spacing w:line="240" w:lineRule="auto"/>
        <w:ind w:left="420" w:leftChars="0" w:right="0" w:rightChars="0" w:firstLine="0" w:firstLineChars="0"/>
      </w:pPr>
      <w:r>
        <w:drawing>
          <wp:inline distT="0" distB="0" distL="114300" distR="114300">
            <wp:extent cx="5266690" cy="2309495"/>
            <wp:effectExtent l="0" t="0" r="3810" b="1905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left="420" w:leftChars="0" w:right="0" w:rightChars="0" w:firstLine="0" w:firstLineChars="0"/>
      </w:pPr>
    </w:p>
    <w:p>
      <w:pPr>
        <w:pStyle w:val="2"/>
        <w:numPr>
          <w:ilvl w:val="0"/>
          <w:numId w:val="3"/>
        </w:numPr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  <w:lang w:val="en-US" w:eastAsia="zh-CN"/>
        </w:rPr>
        <w:t>阅读供应商注册声明</w:t>
      </w:r>
    </w:p>
    <w:p>
      <w:pPr>
        <w:pStyle w:val="2"/>
        <w:numPr>
          <w:ilvl w:val="0"/>
          <w:numId w:val="0"/>
        </w:numPr>
        <w:ind w:left="420" w:leftChars="0" w:right="700" w:rightChars="0"/>
        <w:rPr>
          <w:rFonts w:ascii="思源宋体 CN Light" w:hAnsi="思源宋体 CN Light" w:cs="思源宋体 CN Light"/>
        </w:rPr>
      </w:pPr>
      <w:r>
        <w:drawing>
          <wp:inline distT="0" distB="0" distL="114300" distR="114300">
            <wp:extent cx="5274945" cy="3512820"/>
            <wp:effectExtent l="0" t="0" r="1905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t>填写</w:t>
      </w:r>
      <w:r>
        <w:rPr>
          <w:rFonts w:hint="eastAsia" w:ascii="思源宋体 CN Light" w:hAnsi="思源宋体 CN Light" w:cs="思源宋体 CN Light"/>
          <w:lang w:val="en-US" w:eastAsia="zh-CN"/>
        </w:rPr>
        <w:t>供应商统一社会信用代码，如果为福建省内用户需进行证照检测，可自动获取单位名称和登录名，省外公司需手动填写单位名称和登录名，补充完其余账号信息后，点击注册即可</w:t>
      </w:r>
      <w:r>
        <w:rPr>
          <w:rFonts w:hint="eastAsia" w:ascii="思源宋体 CN Light" w:hAnsi="思源宋体 CN Light" w:cs="思源宋体 CN Light"/>
        </w:rPr>
        <w:t>；</w:t>
      </w:r>
    </w:p>
    <w:p>
      <w:pPr>
        <w:pStyle w:val="2"/>
        <w:ind w:left="420" w:leftChars="0" w:right="0" w:rightChars="0" w:firstLine="0" w:firstLineChars="0"/>
      </w:pPr>
      <w:r>
        <w:drawing>
          <wp:inline distT="0" distB="0" distL="114300" distR="114300">
            <wp:extent cx="5270500" cy="4701540"/>
            <wp:effectExtent l="0" t="0" r="6350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leftChars="0" w:right="0" w:rightChars="0" w:firstLine="0" w:firstLineChars="0"/>
      </w:pPr>
      <w:r>
        <w:drawing>
          <wp:inline distT="0" distB="0" distL="114300" distR="114300">
            <wp:extent cx="5272405" cy="4140835"/>
            <wp:effectExtent l="0" t="0" r="4445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5" w:name="_GoBack"/>
      <w:bookmarkEnd w:id="125"/>
    </w:p>
    <w:p>
      <w:r>
        <w:br w:type="page"/>
      </w:r>
    </w:p>
    <w:p>
      <w:pPr>
        <w:pStyle w:val="2"/>
        <w:numPr>
          <w:ilvl w:val="0"/>
          <w:numId w:val="3"/>
        </w:numPr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t>点击页面“立即登录”按钮，并查阅验证《隐私声明》；</w:t>
      </w:r>
    </w:p>
    <w:p>
      <w:pPr>
        <w:pStyle w:val="2"/>
        <w:ind w:left="420" w:leftChars="0" w:right="0" w:rightChars="0" w:firstLine="0" w:firstLineChars="0"/>
        <w:rPr>
          <w:rFonts w:ascii="思源宋体 CN Light" w:hAnsi="思源宋体 CN Light" w:cs="思源宋体 CN Light"/>
        </w:rPr>
      </w:pPr>
      <w:r>
        <w:drawing>
          <wp:inline distT="0" distB="0" distL="114300" distR="114300">
            <wp:extent cx="5266690" cy="2309495"/>
            <wp:effectExtent l="0" t="0" r="3810" b="1905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t>初次注册需要完善诚信库信息，点击“确定”进行完善；</w:t>
      </w:r>
    </w:p>
    <w:p>
      <w:pPr>
        <w:pStyle w:val="2"/>
        <w:ind w:left="420" w:leftChars="0" w:right="0" w:rightChars="0" w:firstLine="0" w:firstLineChars="0"/>
        <w:rPr>
          <w:rFonts w:ascii="思源宋体 CN Light" w:hAnsi="思源宋体 CN Light" w:cs="思源宋体 CN Light"/>
        </w:rPr>
      </w:pPr>
      <w:r>
        <w:drawing>
          <wp:inline distT="0" distB="0" distL="114300" distR="114300">
            <wp:extent cx="5266690" cy="2309495"/>
            <wp:effectExtent l="0" t="0" r="3810" b="1905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t>点击左上角“修改信息”按钮进行相关信息编辑；</w:t>
      </w:r>
    </w:p>
    <w:p>
      <w:pPr>
        <w:pStyle w:val="2"/>
        <w:ind w:left="420" w:leftChars="0" w:right="0" w:rightChars="0" w:firstLine="0" w:firstLineChars="0"/>
      </w:pPr>
      <w:r>
        <w:drawing>
          <wp:inline distT="0" distB="0" distL="114300" distR="114300">
            <wp:extent cx="5266690" cy="2309495"/>
            <wp:effectExtent l="0" t="0" r="3810" b="1905"/>
            <wp:docPr id="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numPr>
          <w:ilvl w:val="0"/>
          <w:numId w:val="3"/>
        </w:numPr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t>填写供应商注册信息、其他信息等，标注“*”内容为必填项；</w:t>
      </w:r>
    </w:p>
    <w:p>
      <w:pPr>
        <w:pStyle w:val="2"/>
        <w:ind w:left="420" w:leftChars="0" w:right="0" w:rightChars="0" w:firstLine="0" w:firstLineChars="0"/>
        <w:rPr>
          <w:rFonts w:ascii="思源宋体 CN Light" w:hAnsi="思源宋体 CN Light" w:cs="思源宋体 CN Light"/>
        </w:rPr>
      </w:pPr>
      <w:r>
        <w:drawing>
          <wp:inline distT="0" distB="0" distL="114300" distR="114300">
            <wp:extent cx="5266690" cy="2084705"/>
            <wp:effectExtent l="0" t="0" r="3810" b="10795"/>
            <wp:docPr id="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t>填写信息完毕后点击左上角“电子件管理”按钮，点击上传相应电子件，标注“*”的部分为必须上传项；</w:t>
      </w:r>
    </w:p>
    <w:p>
      <w:pPr>
        <w:pStyle w:val="2"/>
        <w:ind w:left="420" w:leftChars="0" w:right="0" w:rightChars="0" w:firstLine="0" w:firstLineChars="0"/>
        <w:rPr>
          <w:rFonts w:ascii="思源宋体 CN Light" w:hAnsi="思源宋体 CN Light" w:cs="思源宋体 CN Light"/>
        </w:rPr>
      </w:pPr>
      <w:r>
        <w:drawing>
          <wp:inline distT="0" distB="0" distL="114300" distR="114300">
            <wp:extent cx="5266690" cy="2140585"/>
            <wp:effectExtent l="0" t="0" r="3810" b="5715"/>
            <wp:docPr id="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t>上传完毕后返回信息页面，点击左上角“下一步”按钮，然后点击页面中左上角“提交信息”按钮确认提交，将相关信息送审；</w:t>
      </w:r>
    </w:p>
    <w:p>
      <w:pPr>
        <w:pStyle w:val="2"/>
        <w:ind w:left="420" w:leftChars="0" w:right="0" w:rightChars="0" w:firstLine="0" w:firstLineChars="0"/>
        <w:rPr>
          <w:rFonts w:ascii="思源宋体 CN Light" w:hAnsi="思源宋体 CN Light" w:cs="思源宋体 CN Light"/>
        </w:rPr>
      </w:pPr>
      <w:r>
        <w:drawing>
          <wp:inline distT="0" distB="0" distL="114300" distR="114300">
            <wp:extent cx="5266690" cy="2309495"/>
            <wp:effectExtent l="0" t="0" r="3810" b="1905"/>
            <wp:docPr id="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rightChars="0" w:firstLineChars="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t>信息提交成功，提示信息如图所示，等待审核结果即可。</w:t>
      </w:r>
    </w:p>
    <w:p>
      <w:pPr>
        <w:pStyle w:val="2"/>
        <w:ind w:left="420" w:leftChars="0" w:right="0" w:rightChars="0" w:firstLine="0" w:firstLineChars="0"/>
        <w:rPr>
          <w:rFonts w:ascii="思源宋体 CN Light" w:hAnsi="思源宋体 CN Light" w:cs="思源宋体 CN Light"/>
        </w:rPr>
      </w:pPr>
      <w:r>
        <w:drawing>
          <wp:inline distT="0" distB="0" distL="114300" distR="114300">
            <wp:extent cx="5266690" cy="2309495"/>
            <wp:effectExtent l="0" t="0" r="3810" b="1905"/>
            <wp:docPr id="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3" w:name="_Toc20175"/>
      <w:r>
        <w:rPr>
          <w:rFonts w:hint="eastAsia"/>
        </w:rPr>
        <w:t>CA绑定</w:t>
      </w:r>
      <w:bookmarkEnd w:id="113"/>
    </w:p>
    <w:p>
      <w:pPr>
        <w:ind w:firstLine="422"/>
        <w:rPr>
          <w:rFonts w:ascii="思源宋体 CN Light" w:hAnsi="思源宋体 CN Light" w:cs="思源宋体 CN Light"/>
          <w:b/>
          <w:bCs/>
        </w:rPr>
      </w:pPr>
      <w:r>
        <w:rPr>
          <w:rFonts w:hint="eastAsia" w:ascii="思源宋体 CN Light" w:hAnsi="思源宋体 CN Light" w:cs="思源宋体 CN Light"/>
          <w:b/>
          <w:bCs/>
        </w:rPr>
        <w:t>基本功能：</w:t>
      </w:r>
      <w:r>
        <w:rPr>
          <w:rFonts w:hint="eastAsia" w:ascii="思源宋体 CN Light" w:hAnsi="思源宋体 CN Light" w:cs="思源宋体 CN Light"/>
        </w:rPr>
        <w:t>供应商账号绑定CA锁</w:t>
      </w:r>
    </w:p>
    <w:p>
      <w:pPr>
        <w:ind w:firstLine="422"/>
        <w:rPr>
          <w:rFonts w:ascii="思源宋体 CN Light" w:hAnsi="思源宋体 CN Light" w:cs="思源宋体 CN Light"/>
          <w:b/>
          <w:bCs/>
        </w:rPr>
      </w:pPr>
      <w:r>
        <w:rPr>
          <w:rFonts w:hint="eastAsia" w:ascii="思源宋体 CN Light" w:hAnsi="思源宋体 CN Light" w:cs="思源宋体 CN Light"/>
          <w:b/>
          <w:bCs/>
        </w:rPr>
        <w:t>操作步骤：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登录供应商账号，并插入CA锁至计算机，输入口令并确认启动；</w:t>
      </w:r>
    </w:p>
    <w:p>
      <w:pPr>
        <w:pStyle w:val="2"/>
        <w:ind w:left="420" w:leftChars="200" w:right="0" w:rightChars="0" w:firstLine="0" w:firstLineChars="0"/>
      </w:pPr>
      <w:r>
        <w:drawing>
          <wp:inline distT="0" distB="0" distL="114300" distR="114300">
            <wp:extent cx="5266690" cy="1859915"/>
            <wp:effectExtent l="0" t="0" r="3810" b="698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240" w:lineRule="auto"/>
        <w:ind w:left="0" w:leftChars="0" w:rightChars="0"/>
      </w:pPr>
      <w:r>
        <w:rPr>
          <w:rFonts w:hint="eastAsia"/>
        </w:rPr>
        <w:t>点击任何页面右侧的悬浮按钮“证书管理”，进入证书管理页面；</w:t>
      </w:r>
    </w:p>
    <w:p>
      <w:pPr>
        <w:pStyle w:val="2"/>
        <w:ind w:left="420" w:leftChars="200" w:right="0" w:rightChars="0" w:firstLine="0" w:firstLineChars="0"/>
      </w:pPr>
      <w:r>
        <w:drawing>
          <wp:inline distT="0" distB="0" distL="114300" distR="114300">
            <wp:extent cx="5266690" cy="1957070"/>
            <wp:effectExtent l="0" t="0" r="3810" b="11430"/>
            <wp:docPr id="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numPr>
          <w:ilvl w:val="0"/>
          <w:numId w:val="4"/>
        </w:numPr>
        <w:ind w:left="0" w:leftChars="0" w:rightChars="0"/>
      </w:pPr>
      <w:r>
        <w:rPr>
          <w:rFonts w:hint="eastAsia"/>
        </w:rPr>
        <w:t>在证书管理页面中填写证书相关信息，其中标注“*”为必填项，填写完毕后点击“读取证书”，随后点击激活按钮进行证书绑定即可；</w:t>
      </w:r>
    </w:p>
    <w:p>
      <w:pPr>
        <w:pStyle w:val="2"/>
        <w:ind w:left="420" w:leftChars="200" w:right="0" w:rightChars="0" w:firstLine="0" w:firstLineChars="0"/>
      </w:pPr>
      <w:r>
        <w:drawing>
          <wp:inline distT="0" distB="0" distL="114300" distR="114300">
            <wp:extent cx="5266690" cy="2309495"/>
            <wp:effectExtent l="0" t="0" r="3810" b="1905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rightChars="0"/>
      </w:pPr>
      <w:r>
        <w:rPr>
          <w:rFonts w:hint="eastAsia"/>
        </w:rPr>
        <w:t>绑定成功后可在页面下方查看“证书信息”、“历史激活信息”等内容。</w:t>
      </w:r>
    </w:p>
    <w:p>
      <w:pPr>
        <w:pStyle w:val="2"/>
        <w:ind w:left="420" w:leftChars="200" w:right="0" w:rightChars="0" w:firstLine="0" w:firstLineChars="0"/>
      </w:pPr>
      <w:r>
        <w:drawing>
          <wp:inline distT="0" distB="0" distL="114300" distR="114300">
            <wp:extent cx="5266690" cy="2309495"/>
            <wp:effectExtent l="0" t="0" r="3810" b="1905"/>
            <wp:docPr id="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Light" w:hAnsi="思源宋体 CN Light" w:cs="思源宋体 CN Light"/>
        </w:rPr>
      </w:pPr>
      <w:bookmarkStart w:id="114" w:name="_Toc23543"/>
      <w:bookmarkStart w:id="115" w:name="_Toc261428518"/>
      <w:bookmarkStart w:id="116" w:name="_Toc225152732"/>
      <w:r>
        <w:rPr>
          <w:rFonts w:hint="eastAsia" w:ascii="思源宋体 CN Light" w:hAnsi="思源宋体 CN Light" w:cs="思源宋体 CN Light"/>
        </w:rPr>
        <w:t>公告查看、报名与标书下载</w:t>
      </w:r>
      <w:bookmarkEnd w:id="114"/>
    </w:p>
    <w:p>
      <w:pPr>
        <w:pStyle w:val="4"/>
        <w:rPr>
          <w:rFonts w:ascii="思源宋体 CN Light" w:hAnsi="思源宋体 CN Light" w:cs="思源宋体 CN Light"/>
        </w:rPr>
      </w:pPr>
      <w:bookmarkStart w:id="117" w:name="_Toc24821"/>
      <w:r>
        <w:rPr>
          <w:rFonts w:hint="eastAsia" w:ascii="思源宋体 CN Light" w:hAnsi="思源宋体 CN Light" w:cs="思源宋体 CN Light"/>
        </w:rPr>
        <w:t>公告查看、报名</w:t>
      </w:r>
      <w:bookmarkEnd w:id="117"/>
    </w:p>
    <w:p>
      <w:pPr>
        <w:ind w:firstLine="422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  <w:t>查看</w:t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招标公告及报名投标。</w:t>
      </w:r>
    </w:p>
    <w:p>
      <w:pPr>
        <w:ind w:firstLine="422"/>
        <w:rPr>
          <w:rFonts w:ascii="思源宋体 CN Light" w:hAnsi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2"/>
        <w:numPr>
          <w:ilvl w:val="0"/>
          <w:numId w:val="5"/>
        </w:numPr>
        <w:ind w:left="0" w:leftChars="0" w:right="1470" w:firstLineChars="0"/>
        <w:rPr>
          <w:rFonts w:ascii="思源宋体 CN Light" w:hAnsi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  <w:t>在左上角区域进行公告类型筛选，选择符合条件的公告；</w:t>
      </w:r>
    </w:p>
    <w:p>
      <w:pPr>
        <w:pStyle w:val="2"/>
        <w:ind w:left="420" w:leftChars="0" w:right="1470" w:firstLine="0" w:firstLineChars="0"/>
      </w:pPr>
      <w:r>
        <w:drawing>
          <wp:inline distT="0" distB="0" distL="114300" distR="114300">
            <wp:extent cx="5266690" cy="23094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leftChars="0" w:right="1470" w:firstLine="0" w:firstLineChars="0"/>
      </w:pPr>
    </w:p>
    <w:p>
      <w:pPr>
        <w:pStyle w:val="2"/>
        <w:numPr>
          <w:ilvl w:val="0"/>
          <w:numId w:val="5"/>
        </w:numPr>
        <w:ind w:left="0" w:leftChars="0" w:rightChars="0" w:firstLineChars="0"/>
        <w:rPr>
          <w:rFonts w:ascii="思源宋体 CN Light" w:hAnsi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  <w:t>鼠标移动至想要了解的招标公告，可以查看招标文件金额、保证金、开标时间等信息，点击“公告详情”了解更多，点击“我要报名”即可进入报名页面；</w:t>
      </w:r>
    </w:p>
    <w:p>
      <w:pPr>
        <w:pStyle w:val="2"/>
        <w:ind w:left="420" w:leftChars="0" w:right="0" w:rightChars="0" w:firstLine="0" w:firstLineChars="0"/>
      </w:pPr>
      <w:r>
        <w:drawing>
          <wp:inline distT="0" distB="0" distL="114300" distR="114300">
            <wp:extent cx="5266690" cy="230949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left="0" w:leftChars="0" w:rightChars="0" w:firstLineChars="0"/>
        <w:rPr>
          <w:rFonts w:ascii="思源宋体 CN Light" w:hAnsi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  <w:t>在完善报名信息页面进行相关信息填写，标注“*”内容为必填项，填写完毕后点击左上角“我要报名”按钮，即可完成报名。</w:t>
      </w:r>
    </w:p>
    <w:p>
      <w:pPr>
        <w:pStyle w:val="2"/>
        <w:ind w:left="420" w:leftChars="0" w:right="0" w:rightChars="0" w:firstLine="0" w:firstLineChars="0"/>
      </w:pPr>
      <w:r>
        <w:drawing>
          <wp:inline distT="0" distB="0" distL="114300" distR="114300">
            <wp:extent cx="5266690" cy="2112010"/>
            <wp:effectExtent l="0" t="0" r="38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978025"/>
            <wp:effectExtent l="0" t="0" r="381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Light" w:hAnsi="思源宋体 CN Light" w:cs="思源宋体 CN Light"/>
        </w:rPr>
      </w:pPr>
      <w:bookmarkStart w:id="118" w:name="_Toc31435"/>
      <w:r>
        <w:rPr>
          <w:rFonts w:hint="eastAsia" w:ascii="思源宋体 CN Light" w:hAnsi="思源宋体 CN Light" w:cs="思源宋体 CN Light"/>
        </w:rPr>
        <w:t>标书下载</w:t>
      </w:r>
      <w:bookmarkEnd w:id="118"/>
    </w:p>
    <w:p>
      <w:pPr>
        <w:ind w:firstLine="422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  <w:t>对已经报名参与的</w:t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标段进行投标操作。</w:t>
      </w:r>
    </w:p>
    <w:p>
      <w:pPr>
        <w:ind w:firstLine="422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</w:pPr>
      <w:r>
        <w:rPr>
          <w:rFonts w:hint="eastAsia"/>
        </w:rPr>
        <w:t>在主界面上方选择“我的项目”，进入查看已报名标段信息；</w:t>
      </w:r>
    </w:p>
    <w:p>
      <w:pPr>
        <w:pStyle w:val="2"/>
        <w:ind w:left="0" w:leftChars="0" w:right="1470" w:firstLineChars="0"/>
      </w:pPr>
      <w:r>
        <w:drawing>
          <wp:inline distT="0" distB="0" distL="114300" distR="114300">
            <wp:extent cx="5266690" cy="2125345"/>
            <wp:effectExtent l="0" t="0" r="3810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spacing w:after="0"/>
        <w:ind w:left="0" w:leftChars="0" w:rightChars="0"/>
      </w:pPr>
      <w:r>
        <w:rPr>
          <w:rFonts w:hint="eastAsia"/>
        </w:rPr>
        <w:t>鼠标移至将要进行投标的标段，点击“项目详情”可查看详情信息，点击“项目流程”即可进入投标流程页面；</w:t>
      </w:r>
    </w:p>
    <w:p>
      <w:pPr>
        <w:pStyle w:val="2"/>
        <w:spacing w:after="0"/>
        <w:ind w:left="420" w:leftChars="200" w:right="0" w:rightChars="0" w:firstLine="0" w:firstLineChars="0"/>
      </w:pPr>
      <w:r>
        <w:drawing>
          <wp:inline distT="0" distB="0" distL="114300" distR="114300">
            <wp:extent cx="5266690" cy="2309495"/>
            <wp:effectExtent l="0" t="0" r="381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spacing w:after="0"/>
        <w:ind w:left="0" w:leftChars="0" w:rightChars="0"/>
      </w:pPr>
      <w:r>
        <w:rPr>
          <w:rFonts w:hint="eastAsia"/>
        </w:rPr>
        <w:t>在项目流程页面根据阶段提示进行依次操作，分为已完成、进行中、未完成模块，如图所示，在开标前可依次进行招标文件领取、答疑澄清文件领取、上传投标文件等操作；</w:t>
      </w:r>
    </w:p>
    <w:p>
      <w:pPr>
        <w:pStyle w:val="2"/>
        <w:spacing w:after="0"/>
        <w:ind w:left="420" w:leftChars="200" w:right="0" w:rightChars="0" w:firstLine="0" w:firstLineChars="0"/>
        <w:rPr>
          <w:rStyle w:val="47"/>
        </w:rPr>
      </w:pPr>
      <w:r>
        <w:drawing>
          <wp:inline distT="0" distB="0" distL="114300" distR="114300">
            <wp:extent cx="5266690" cy="2309495"/>
            <wp:effectExtent l="0" t="0" r="3810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5"/>
      <w:bookmarkEnd w:id="116"/>
    </w:p>
    <w:p>
      <w:pPr>
        <w:pStyle w:val="3"/>
        <w:rPr>
          <w:rStyle w:val="47"/>
        </w:rPr>
      </w:pPr>
      <w:bookmarkStart w:id="119" w:name="_Toc26699"/>
      <w:r>
        <w:rPr>
          <w:rStyle w:val="47"/>
        </w:rPr>
        <w:t>投标文件制作</w:t>
      </w:r>
      <w:bookmarkEnd w:id="119"/>
    </w:p>
    <w:p>
      <w:pPr>
        <w:pStyle w:val="4"/>
      </w:pPr>
      <w:bookmarkStart w:id="120" w:name="_Toc3695"/>
      <w:r>
        <w:rPr>
          <w:rFonts w:hint="eastAsia"/>
        </w:rPr>
        <w:t>前置条件</w:t>
      </w:r>
      <w:bookmarkEnd w:id="120"/>
    </w:p>
    <w:p>
      <w:r>
        <w:t>已经安装好所需驱动，投标文件制作工具已经安装，CA锁已经完成绑定</w:t>
      </w:r>
      <w:r>
        <w:rPr>
          <w:rFonts w:hint="eastAsia"/>
        </w:rPr>
        <w:br w:type="textWrapping"/>
      </w:r>
      <w:r>
        <w:rPr>
          <w:rFonts w:hint="eastAsia"/>
        </w:rPr>
        <w:t>如未安装相关工具请前往：</w:t>
      </w:r>
      <w:r>
        <w:fldChar w:fldCharType="begin"/>
      </w:r>
      <w:r>
        <w:instrText xml:space="preserve"> HYPERLINK "http://www.npygcg.com/fjnp/gysxz/notice.html" </w:instrText>
      </w:r>
      <w:r>
        <w:fldChar w:fldCharType="separate"/>
      </w:r>
      <w:r>
        <w:rPr>
          <w:b/>
          <w:color w:val="FF0000"/>
        </w:rPr>
        <w:t>国有企业阳光招采平台 (npygcg.com)</w:t>
      </w:r>
      <w:r>
        <w:rPr>
          <w:b/>
          <w:color w:val="FF0000"/>
        </w:rPr>
        <w:fldChar w:fldCharType="end"/>
      </w:r>
      <w:r>
        <w:t>下载</w:t>
      </w:r>
    </w:p>
    <w:p>
      <w:r>
        <w:drawing>
          <wp:inline distT="0" distB="0" distL="0" distR="0">
            <wp:extent cx="1247140" cy="17614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1" w:name="_Toc12554"/>
      <w:r>
        <w:rPr>
          <w:rFonts w:hint="eastAsia"/>
        </w:rPr>
        <w:t>投标文件制作</w:t>
      </w:r>
      <w:bookmarkEnd w:id="121"/>
    </w:p>
    <w:p>
      <w:pPr>
        <w:ind w:firstLine="0" w:firstLineChars="0"/>
      </w:pPr>
      <w:r>
        <w:rPr>
          <w:rFonts w:hint="eastAsia"/>
        </w:rPr>
        <w:t>1.打开投标文件制作工具，选择新建工程，导入下载好的招标文件</w:t>
      </w:r>
    </w:p>
    <w:p>
      <w:pPr>
        <w:pStyle w:val="2"/>
        <w:ind w:left="0" w:leftChars="0" w:right="1470" w:firstLine="0" w:firstLineChars="0"/>
      </w:pPr>
      <w:r>
        <w:drawing>
          <wp:inline distT="0" distB="0" distL="0" distR="0">
            <wp:extent cx="5278120" cy="2362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2.按照标书节点导入相关文件进行制作（</w:t>
      </w:r>
      <w:r>
        <w:rPr>
          <w:rFonts w:hint="eastAsia"/>
          <w:b/>
          <w:color w:val="FF0000"/>
        </w:rPr>
        <w:t>注：标书节点以招标代理设置为主，图中仅为示例</w:t>
      </w:r>
      <w:r>
        <w:rPr>
          <w:rFonts w:hint="eastAsia"/>
        </w:rPr>
        <w:t>）</w:t>
      </w:r>
    </w:p>
    <w:p>
      <w:pPr>
        <w:pStyle w:val="2"/>
        <w:ind w:left="0" w:leftChars="0" w:right="1470" w:firstLine="0" w:firstLineChars="0"/>
      </w:pPr>
      <w:r>
        <w:drawing>
          <wp:inline distT="0" distB="0" distL="0" distR="0">
            <wp:extent cx="5278120" cy="15335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3.生成投标文件，按照进度步骤一步步生成投标文件（）</w:t>
      </w:r>
    </w:p>
    <w:p>
      <w:pPr>
        <w:pStyle w:val="2"/>
        <w:ind w:left="0" w:leftChars="0" w:right="1470" w:firstLine="0" w:firstLineChars="0"/>
      </w:pPr>
      <w:r>
        <w:drawing>
          <wp:inline distT="0" distB="0" distL="0" distR="0">
            <wp:extent cx="5278120" cy="12153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1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4.批量转化之后需要进行签章（</w:t>
      </w:r>
      <w:r>
        <w:rPr>
          <w:rFonts w:hint="eastAsia"/>
          <w:color w:val="FF0000"/>
        </w:rPr>
        <w:t>请确保CA锁已经插好，驱动已经启动</w:t>
      </w:r>
      <w:r>
        <w:rPr>
          <w:rFonts w:hint="eastAsia"/>
        </w:rPr>
        <w:t>）</w:t>
      </w:r>
    </w:p>
    <w:p>
      <w:pPr>
        <w:pStyle w:val="2"/>
        <w:ind w:left="0" w:leftChars="0" w:right="1470" w:firstLine="0" w:firstLineChars="0"/>
      </w:pPr>
      <w:r>
        <w:drawing>
          <wp:inline distT="0" distB="0" distL="0" distR="0">
            <wp:extent cx="5278120" cy="28047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0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right="1470" w:firstLine="0" w:firstLineChars="0"/>
        <w:rPr>
          <w:b/>
          <w:color w:val="FF0000"/>
        </w:rPr>
      </w:pPr>
      <w:r>
        <w:rPr>
          <w:rFonts w:hint="eastAsia"/>
          <w:b/>
          <w:color w:val="FF0000"/>
        </w:rPr>
        <w:t>5.生成标书后请妥善保管标书，并在规定时间内进行投标</w:t>
      </w:r>
    </w:p>
    <w:p>
      <w:pPr>
        <w:pStyle w:val="2"/>
        <w:ind w:left="0" w:leftChars="0" w:right="1470" w:firstLine="0" w:firstLineChars="0"/>
        <w:rPr>
          <w:b/>
          <w:color w:val="FF0000"/>
        </w:rPr>
      </w:pPr>
      <w:r>
        <w:drawing>
          <wp:inline distT="0" distB="0" distL="0" distR="0">
            <wp:extent cx="5278120" cy="13106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2" w:name="_Toc10072"/>
      <w:r>
        <w:rPr>
          <w:rFonts w:hint="eastAsia"/>
        </w:rPr>
        <w:t>投标与解密</w:t>
      </w:r>
      <w:bookmarkEnd w:id="122"/>
    </w:p>
    <w:p>
      <w:pPr>
        <w:pStyle w:val="4"/>
      </w:pPr>
      <w:bookmarkStart w:id="123" w:name="_Toc4734"/>
      <w:r>
        <w:rPr>
          <w:rFonts w:hint="eastAsia"/>
        </w:rPr>
        <w:t>项目投标</w:t>
      </w:r>
      <w:bookmarkEnd w:id="123"/>
    </w:p>
    <w:p>
      <w:pPr>
        <w:ind w:firstLine="0" w:firstLineChars="0"/>
      </w:pPr>
      <w:r>
        <w:rPr>
          <w:rFonts w:hint="eastAsia"/>
        </w:rPr>
        <w:t>1.前置条件：已经报名并且下载标书，投标文件制作完成</w:t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2.在投标阶段点击【上传投标文件】</w:t>
      </w:r>
    </w:p>
    <w:p>
      <w:pPr>
        <w:pStyle w:val="2"/>
        <w:ind w:left="0" w:leftChars="0" w:right="1470" w:firstLine="0" w:firstLineChars="0"/>
      </w:pPr>
      <w:r>
        <w:drawing>
          <wp:inline distT="0" distB="0" distL="0" distR="0">
            <wp:extent cx="5278120" cy="267843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4" w:name="_Toc28039"/>
      <w:r>
        <w:t>开标签到解密</w:t>
      </w:r>
      <w:bookmarkEnd w:id="124"/>
    </w:p>
    <w:p>
      <w:pPr>
        <w:ind w:firstLine="0" w:firstLineChars="0"/>
      </w:pPr>
      <w:r>
        <w:rPr>
          <w:rFonts w:hint="eastAsia"/>
        </w:rPr>
        <w:t>1.点击开标签到解密进入开标大厅进行操作</w:t>
      </w:r>
    </w:p>
    <w:p>
      <w:pPr>
        <w:pStyle w:val="2"/>
        <w:ind w:left="0" w:leftChars="0" w:right="1470" w:firstLine="0" w:firstLineChars="0"/>
      </w:pPr>
      <w:r>
        <w:drawing>
          <wp:inline distT="0" distB="0" distL="0" distR="0">
            <wp:extent cx="5278120" cy="33940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ascii="Calibri" w:hAnsi="Calibri" w:eastAsia="宋体"/>
          <w:color w:val="000000"/>
          <w:sz w:val="24"/>
        </w:rPr>
      </w:pPr>
      <w:r>
        <w:rPr>
          <w:rFonts w:hint="eastAsia" w:ascii="Calibri" w:hAnsi="Calibri" w:eastAsia="宋体"/>
          <w:color w:val="000000"/>
          <w:sz w:val="24"/>
        </w:rPr>
        <w:t>开标大厅备用地址：</w:t>
      </w:r>
    </w:p>
    <w:p>
      <w:pPr>
        <w:pStyle w:val="2"/>
        <w:ind w:left="0" w:leftChars="0" w:right="1470" w:firstLine="0" w:firstLineChars="0"/>
        <w:rPr>
          <w:rFonts w:hint="eastAsia" w:ascii="Calibri" w:hAnsi="Calibri" w:eastAsia="宋体"/>
          <w:color w:val="000000"/>
          <w:sz w:val="24"/>
        </w:rPr>
      </w:pPr>
      <w:r>
        <w:fldChar w:fldCharType="begin"/>
      </w:r>
      <w:r>
        <w:instrText xml:space="preserve"> HYPERLINK "http://www.npygcg.com/BidOpeningHall/bidopeninghallaction/hall/login" </w:instrText>
      </w:r>
      <w:r>
        <w:fldChar w:fldCharType="separate"/>
      </w:r>
      <w:r>
        <w:rPr>
          <w:rStyle w:val="33"/>
          <w:rFonts w:ascii="Calibri" w:hAnsi="Calibri" w:eastAsia="宋体"/>
          <w:sz w:val="24"/>
        </w:rPr>
        <w:t>http://www.npygcg.com/BidOpeningHall/bidopeninghallaction/hall/login</w:t>
      </w:r>
      <w:r>
        <w:rPr>
          <w:rStyle w:val="33"/>
          <w:rFonts w:ascii="Calibri" w:hAnsi="Calibri" w:eastAsia="宋体"/>
          <w:sz w:val="24"/>
        </w:rPr>
        <w:fldChar w:fldCharType="end"/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2.请在规定时间内登录开标大厅进行签到（线上，线下签到以业主要求为准）</w:t>
      </w:r>
    </w:p>
    <w:p>
      <w:pPr>
        <w:pStyle w:val="2"/>
        <w:ind w:left="0" w:leftChars="0" w:right="1470" w:firstLine="0" w:firstLineChars="0"/>
      </w:pPr>
      <w:r>
        <w:rPr>
          <w:rFonts w:hint="eastAsia"/>
        </w:rPr>
        <w:t>3.投标文件解密，需要插入制作投标文件时相对应的CA锁进行解密</w:t>
      </w:r>
    </w:p>
    <w:p>
      <w:pPr>
        <w:pStyle w:val="2"/>
        <w:ind w:left="0" w:leftChars="0" w:right="1470" w:firstLine="0" w:firstLineChars="0"/>
      </w:pPr>
      <w:r>
        <w:drawing>
          <wp:inline distT="0" distB="0" distL="0" distR="0">
            <wp:extent cx="5278120" cy="26676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3" w:type="first"/>
      <w:footerReference r:id="rId14" w:type="first"/>
      <w:pgSz w:w="11906" w:h="16838"/>
      <w:pgMar w:top="1440" w:right="1797" w:bottom="1440" w:left="1797" w:header="624" w:footer="624" w:gutter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ctionIcon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WinCharSetFFFF-H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A5A5A5" w:themeColor="accent3" w:sz="24" w:space="5"/>
      </w:pBdr>
      <w:wordWrap w:val="0"/>
      <w:spacing w:line="240" w:lineRule="auto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9" name="文本框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  <w:ind w:firstLine="360"/>
                            <w:rPr>
                              <w:rFonts w:ascii="思源宋体 CN Light" w:hAnsi="思源宋体 CN Light" w:cs="思源宋体 CN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tUHo8t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f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ItUHo8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ind w:firstLine="360"/>
                      <w:rPr>
                        <w:rFonts w:ascii="思源宋体 CN Light" w:hAnsi="思源宋体 CN Light" w:cs="思源宋体 CN Ligh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spacing w:line="240" w:lineRule="auto"/>
      <w:ind w:firstLine="0" w:firstLineChars="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0" name="文本框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  <w:ind w:firstLine="360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/23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y+lQAt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Ay+lQA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ind w:firstLine="360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/23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spacing w:line="240" w:lineRule="auto"/>
      <w:ind w:firstLine="0" w:firstLineChars="0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2" name="文本框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  <w:ind w:firstLine="360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/23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ABzbou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DQAc26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ind w:firstLine="360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/23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1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/>
      </w:rPr>
    </w:pPr>
    <w:r>
      <w:rPr>
        <w:rFonts w:hint="eastAsia" w:ascii="思源宋体 CN Light" w:hAnsi="思源宋体 CN Light"/>
      </w:rPr>
      <w:t>南平阳光招采平台采购代理操作手册</w:t>
    </w:r>
  </w:p>
  <w:p>
    <w:pPr>
      <w:pStyle w:val="17"/>
      <w:pBdr>
        <w:bottom w:val="none" w:color="auto" w:sz="0" w:space="1"/>
      </w:pBdr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/>
      </w:rPr>
    </w:pPr>
    <w:r>
      <w:rPr>
        <w:rFonts w:hint="eastAsia" w:ascii="宋体" w:hAnsi="宋体"/>
      </w:rPr>
      <w:t>南平</w:t>
    </w:r>
    <w:r>
      <w:rPr>
        <w:rFonts w:hint="eastAsia" w:ascii="思源宋体 CN Light" w:hAnsi="思源宋体 CN Light"/>
      </w:rPr>
      <w:t>阳光招采平台采购代理操作手册</w:t>
    </w:r>
  </w:p>
  <w:p>
    <w:pPr>
      <w:pStyle w:val="17"/>
      <w:pBdr>
        <w:bottom w:val="none" w:color="auto" w:sz="0" w:space="1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33A63"/>
    <w:multiLevelType w:val="singleLevel"/>
    <w:tmpl w:val="09333A6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1BE8F32"/>
    <w:multiLevelType w:val="singleLevel"/>
    <w:tmpl w:val="11BE8F3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7A73559"/>
    <w:multiLevelType w:val="singleLevel"/>
    <w:tmpl w:val="27A7355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807C3B2"/>
    <w:multiLevelType w:val="singleLevel"/>
    <w:tmpl w:val="2807C3B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3E3D69C1"/>
    <w:multiLevelType w:val="multilevel"/>
    <w:tmpl w:val="3E3D69C1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5C4C21CA"/>
    <w:multiLevelType w:val="multilevel"/>
    <w:tmpl w:val="5C4C21CA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54FB5"/>
    <w:rsid w:val="00064DB8"/>
    <w:rsid w:val="00104137"/>
    <w:rsid w:val="00112276"/>
    <w:rsid w:val="00157814"/>
    <w:rsid w:val="001A6E4E"/>
    <w:rsid w:val="00211028"/>
    <w:rsid w:val="00227DD5"/>
    <w:rsid w:val="00265A70"/>
    <w:rsid w:val="002B010E"/>
    <w:rsid w:val="002F5CC6"/>
    <w:rsid w:val="003F2A51"/>
    <w:rsid w:val="003F7BCB"/>
    <w:rsid w:val="00432302"/>
    <w:rsid w:val="00482FF0"/>
    <w:rsid w:val="00485780"/>
    <w:rsid w:val="004A40F9"/>
    <w:rsid w:val="004E4B99"/>
    <w:rsid w:val="005B2892"/>
    <w:rsid w:val="005B4CDA"/>
    <w:rsid w:val="00625A64"/>
    <w:rsid w:val="00642940"/>
    <w:rsid w:val="006C31EF"/>
    <w:rsid w:val="00795A3B"/>
    <w:rsid w:val="00797B6A"/>
    <w:rsid w:val="00807F7B"/>
    <w:rsid w:val="00823B6C"/>
    <w:rsid w:val="008637FC"/>
    <w:rsid w:val="008F0A78"/>
    <w:rsid w:val="00942143"/>
    <w:rsid w:val="00972142"/>
    <w:rsid w:val="009802B7"/>
    <w:rsid w:val="00982AE1"/>
    <w:rsid w:val="009838B3"/>
    <w:rsid w:val="00985A94"/>
    <w:rsid w:val="00993AEC"/>
    <w:rsid w:val="00A005CE"/>
    <w:rsid w:val="00A0663C"/>
    <w:rsid w:val="00A502AB"/>
    <w:rsid w:val="00AF3435"/>
    <w:rsid w:val="00B40230"/>
    <w:rsid w:val="00B414C6"/>
    <w:rsid w:val="00BA0BAD"/>
    <w:rsid w:val="00BA76D5"/>
    <w:rsid w:val="00BD0FB8"/>
    <w:rsid w:val="00BD4583"/>
    <w:rsid w:val="00BF0F64"/>
    <w:rsid w:val="00C21D68"/>
    <w:rsid w:val="00C26147"/>
    <w:rsid w:val="00C73E9E"/>
    <w:rsid w:val="00C861F0"/>
    <w:rsid w:val="00CA1D4C"/>
    <w:rsid w:val="00D2681B"/>
    <w:rsid w:val="00D4666D"/>
    <w:rsid w:val="00D92843"/>
    <w:rsid w:val="00DA150D"/>
    <w:rsid w:val="00DC597E"/>
    <w:rsid w:val="00E64C2A"/>
    <w:rsid w:val="00F26739"/>
    <w:rsid w:val="00F376F0"/>
    <w:rsid w:val="00FD7113"/>
    <w:rsid w:val="00FE2953"/>
    <w:rsid w:val="00FF07EC"/>
    <w:rsid w:val="01E95619"/>
    <w:rsid w:val="026F2C67"/>
    <w:rsid w:val="02C70AFC"/>
    <w:rsid w:val="02E2253F"/>
    <w:rsid w:val="031713E0"/>
    <w:rsid w:val="03DC5F9D"/>
    <w:rsid w:val="04A74978"/>
    <w:rsid w:val="051D1C05"/>
    <w:rsid w:val="051D33E3"/>
    <w:rsid w:val="0521365E"/>
    <w:rsid w:val="052C4CD3"/>
    <w:rsid w:val="05926A5C"/>
    <w:rsid w:val="05AF6B58"/>
    <w:rsid w:val="05C46947"/>
    <w:rsid w:val="05E87716"/>
    <w:rsid w:val="064A5C39"/>
    <w:rsid w:val="065C53F4"/>
    <w:rsid w:val="073E76D0"/>
    <w:rsid w:val="077B0724"/>
    <w:rsid w:val="07842D3E"/>
    <w:rsid w:val="07C010F0"/>
    <w:rsid w:val="08277723"/>
    <w:rsid w:val="08616B42"/>
    <w:rsid w:val="089C7C7B"/>
    <w:rsid w:val="09001526"/>
    <w:rsid w:val="0921462D"/>
    <w:rsid w:val="099A7A11"/>
    <w:rsid w:val="09CE42DB"/>
    <w:rsid w:val="09D60F2B"/>
    <w:rsid w:val="0A026DF2"/>
    <w:rsid w:val="0A1272F0"/>
    <w:rsid w:val="0A2364F1"/>
    <w:rsid w:val="0AA271DD"/>
    <w:rsid w:val="0AD24879"/>
    <w:rsid w:val="0B51063C"/>
    <w:rsid w:val="0B8D5C98"/>
    <w:rsid w:val="0BE57084"/>
    <w:rsid w:val="0BE85CA4"/>
    <w:rsid w:val="0CC93512"/>
    <w:rsid w:val="0CDF7647"/>
    <w:rsid w:val="0CF963C8"/>
    <w:rsid w:val="0D763616"/>
    <w:rsid w:val="0D8B2112"/>
    <w:rsid w:val="0E186C3A"/>
    <w:rsid w:val="0E2F095C"/>
    <w:rsid w:val="0E5D2989"/>
    <w:rsid w:val="0E7B5C4D"/>
    <w:rsid w:val="0E853AD2"/>
    <w:rsid w:val="0EAD7AEF"/>
    <w:rsid w:val="0EEA5F52"/>
    <w:rsid w:val="0F1340E3"/>
    <w:rsid w:val="0F774FE7"/>
    <w:rsid w:val="0F780871"/>
    <w:rsid w:val="0F894388"/>
    <w:rsid w:val="107F44C3"/>
    <w:rsid w:val="109059CE"/>
    <w:rsid w:val="10B107C6"/>
    <w:rsid w:val="10CE20FB"/>
    <w:rsid w:val="10FB19D8"/>
    <w:rsid w:val="10FD02DE"/>
    <w:rsid w:val="10FD218B"/>
    <w:rsid w:val="111476F6"/>
    <w:rsid w:val="117D5671"/>
    <w:rsid w:val="11817F79"/>
    <w:rsid w:val="11940A63"/>
    <w:rsid w:val="11940E44"/>
    <w:rsid w:val="123F2691"/>
    <w:rsid w:val="1286704F"/>
    <w:rsid w:val="12912ABD"/>
    <w:rsid w:val="12C635F7"/>
    <w:rsid w:val="12CE60FE"/>
    <w:rsid w:val="13730102"/>
    <w:rsid w:val="147255F2"/>
    <w:rsid w:val="14741B64"/>
    <w:rsid w:val="149C6A5D"/>
    <w:rsid w:val="14E67259"/>
    <w:rsid w:val="152D77A5"/>
    <w:rsid w:val="1557096B"/>
    <w:rsid w:val="155A17D7"/>
    <w:rsid w:val="16753215"/>
    <w:rsid w:val="16A51E9B"/>
    <w:rsid w:val="16F51158"/>
    <w:rsid w:val="171C0514"/>
    <w:rsid w:val="17A478CA"/>
    <w:rsid w:val="182C2C65"/>
    <w:rsid w:val="182D634A"/>
    <w:rsid w:val="184E7364"/>
    <w:rsid w:val="185262BE"/>
    <w:rsid w:val="188B1BD8"/>
    <w:rsid w:val="18F07049"/>
    <w:rsid w:val="18FC703D"/>
    <w:rsid w:val="19080889"/>
    <w:rsid w:val="19BD2B48"/>
    <w:rsid w:val="19E06640"/>
    <w:rsid w:val="1A4D4013"/>
    <w:rsid w:val="1A51183B"/>
    <w:rsid w:val="1A523E4C"/>
    <w:rsid w:val="1A5D0248"/>
    <w:rsid w:val="1A6966B9"/>
    <w:rsid w:val="1ACA676A"/>
    <w:rsid w:val="1AE91A67"/>
    <w:rsid w:val="1B282B88"/>
    <w:rsid w:val="1B490618"/>
    <w:rsid w:val="1B707094"/>
    <w:rsid w:val="1B775C90"/>
    <w:rsid w:val="1BAB176F"/>
    <w:rsid w:val="1BAF70B2"/>
    <w:rsid w:val="1BF92594"/>
    <w:rsid w:val="1CCF7073"/>
    <w:rsid w:val="1CF77D96"/>
    <w:rsid w:val="1D9404DD"/>
    <w:rsid w:val="1D977A5D"/>
    <w:rsid w:val="1DBB3F12"/>
    <w:rsid w:val="1DD76282"/>
    <w:rsid w:val="1E854FB5"/>
    <w:rsid w:val="1ED426F8"/>
    <w:rsid w:val="1F064847"/>
    <w:rsid w:val="1F532D4D"/>
    <w:rsid w:val="1F6637E0"/>
    <w:rsid w:val="1F7A4DCD"/>
    <w:rsid w:val="1F8919E2"/>
    <w:rsid w:val="1FFA0888"/>
    <w:rsid w:val="204B3637"/>
    <w:rsid w:val="20AB09D4"/>
    <w:rsid w:val="20C83AB3"/>
    <w:rsid w:val="21053667"/>
    <w:rsid w:val="21786512"/>
    <w:rsid w:val="22846605"/>
    <w:rsid w:val="22C5126F"/>
    <w:rsid w:val="22DE6CA3"/>
    <w:rsid w:val="23454DB8"/>
    <w:rsid w:val="2380220D"/>
    <w:rsid w:val="23D75DDA"/>
    <w:rsid w:val="24BD72C9"/>
    <w:rsid w:val="24C63534"/>
    <w:rsid w:val="25441362"/>
    <w:rsid w:val="256A7C3A"/>
    <w:rsid w:val="25FF0F54"/>
    <w:rsid w:val="260521E0"/>
    <w:rsid w:val="260851E7"/>
    <w:rsid w:val="26194463"/>
    <w:rsid w:val="26565895"/>
    <w:rsid w:val="265839BA"/>
    <w:rsid w:val="269007E3"/>
    <w:rsid w:val="270E1328"/>
    <w:rsid w:val="274076AD"/>
    <w:rsid w:val="27BF1345"/>
    <w:rsid w:val="27E1396A"/>
    <w:rsid w:val="27ED4518"/>
    <w:rsid w:val="28192225"/>
    <w:rsid w:val="283C5ADB"/>
    <w:rsid w:val="284068B8"/>
    <w:rsid w:val="28F855FF"/>
    <w:rsid w:val="291511BA"/>
    <w:rsid w:val="29223459"/>
    <w:rsid w:val="293B7B32"/>
    <w:rsid w:val="294C6719"/>
    <w:rsid w:val="29900667"/>
    <w:rsid w:val="29A47C77"/>
    <w:rsid w:val="29B0399F"/>
    <w:rsid w:val="29DB244C"/>
    <w:rsid w:val="2A4D1291"/>
    <w:rsid w:val="2AF96738"/>
    <w:rsid w:val="2B1B75A1"/>
    <w:rsid w:val="2B6A7583"/>
    <w:rsid w:val="2B9A17EA"/>
    <w:rsid w:val="2BDA15F0"/>
    <w:rsid w:val="2C074054"/>
    <w:rsid w:val="2C201F42"/>
    <w:rsid w:val="2C616F07"/>
    <w:rsid w:val="2C6F2768"/>
    <w:rsid w:val="2C8642FD"/>
    <w:rsid w:val="2CB74B21"/>
    <w:rsid w:val="2CDF4934"/>
    <w:rsid w:val="2CE123A8"/>
    <w:rsid w:val="2CEC3E83"/>
    <w:rsid w:val="2CFE6EEA"/>
    <w:rsid w:val="2D5B499C"/>
    <w:rsid w:val="2D981DCE"/>
    <w:rsid w:val="2E431E75"/>
    <w:rsid w:val="2EA81639"/>
    <w:rsid w:val="2EA94753"/>
    <w:rsid w:val="2F0A2DF4"/>
    <w:rsid w:val="2F24021C"/>
    <w:rsid w:val="2F755069"/>
    <w:rsid w:val="2F766100"/>
    <w:rsid w:val="2F8649E1"/>
    <w:rsid w:val="2FD24860"/>
    <w:rsid w:val="2FEC65FB"/>
    <w:rsid w:val="3034013C"/>
    <w:rsid w:val="30A31E04"/>
    <w:rsid w:val="30E51A54"/>
    <w:rsid w:val="312060B0"/>
    <w:rsid w:val="31B4109F"/>
    <w:rsid w:val="3255722A"/>
    <w:rsid w:val="3260662A"/>
    <w:rsid w:val="328605E1"/>
    <w:rsid w:val="32AE0590"/>
    <w:rsid w:val="337A6C5F"/>
    <w:rsid w:val="346B25BC"/>
    <w:rsid w:val="34870DC7"/>
    <w:rsid w:val="34DE7C04"/>
    <w:rsid w:val="357052A2"/>
    <w:rsid w:val="357405F4"/>
    <w:rsid w:val="35EA2B65"/>
    <w:rsid w:val="3614659D"/>
    <w:rsid w:val="364F7C04"/>
    <w:rsid w:val="36D65DBF"/>
    <w:rsid w:val="37057555"/>
    <w:rsid w:val="37B45B08"/>
    <w:rsid w:val="387F1DD1"/>
    <w:rsid w:val="38B96804"/>
    <w:rsid w:val="38C22285"/>
    <w:rsid w:val="39D6487A"/>
    <w:rsid w:val="39DA5FC0"/>
    <w:rsid w:val="39F37DBE"/>
    <w:rsid w:val="3A2833D1"/>
    <w:rsid w:val="3A9033F5"/>
    <w:rsid w:val="3A923850"/>
    <w:rsid w:val="3AE6757A"/>
    <w:rsid w:val="3C5108F7"/>
    <w:rsid w:val="3D680474"/>
    <w:rsid w:val="3DF21B16"/>
    <w:rsid w:val="3E08216E"/>
    <w:rsid w:val="3E3A5FC6"/>
    <w:rsid w:val="3EA31360"/>
    <w:rsid w:val="3EDC160E"/>
    <w:rsid w:val="3F271CFD"/>
    <w:rsid w:val="3F4323D8"/>
    <w:rsid w:val="3FC50C5E"/>
    <w:rsid w:val="3FC651AB"/>
    <w:rsid w:val="40323878"/>
    <w:rsid w:val="40401D53"/>
    <w:rsid w:val="40480715"/>
    <w:rsid w:val="40CA7541"/>
    <w:rsid w:val="411320BC"/>
    <w:rsid w:val="41306D24"/>
    <w:rsid w:val="41622E76"/>
    <w:rsid w:val="41B06A5B"/>
    <w:rsid w:val="420F1CD4"/>
    <w:rsid w:val="430814F6"/>
    <w:rsid w:val="4397457C"/>
    <w:rsid w:val="43A36D29"/>
    <w:rsid w:val="43D82811"/>
    <w:rsid w:val="44400E58"/>
    <w:rsid w:val="444C55AB"/>
    <w:rsid w:val="44797209"/>
    <w:rsid w:val="45A54AF0"/>
    <w:rsid w:val="45DF2B7B"/>
    <w:rsid w:val="46A216F4"/>
    <w:rsid w:val="46B751E9"/>
    <w:rsid w:val="46BD57DE"/>
    <w:rsid w:val="47367269"/>
    <w:rsid w:val="47B56D9D"/>
    <w:rsid w:val="47E347C3"/>
    <w:rsid w:val="480D2C55"/>
    <w:rsid w:val="48136BAB"/>
    <w:rsid w:val="482D32EC"/>
    <w:rsid w:val="48505601"/>
    <w:rsid w:val="48733839"/>
    <w:rsid w:val="49005EA9"/>
    <w:rsid w:val="490E25C4"/>
    <w:rsid w:val="492563F8"/>
    <w:rsid w:val="49412D74"/>
    <w:rsid w:val="49692445"/>
    <w:rsid w:val="49B061E1"/>
    <w:rsid w:val="49F141B7"/>
    <w:rsid w:val="4AD92083"/>
    <w:rsid w:val="4ADD3DB1"/>
    <w:rsid w:val="4B512904"/>
    <w:rsid w:val="4BD864B6"/>
    <w:rsid w:val="4BF3787F"/>
    <w:rsid w:val="4C524286"/>
    <w:rsid w:val="4C7D5694"/>
    <w:rsid w:val="4D0877CB"/>
    <w:rsid w:val="4D1A294D"/>
    <w:rsid w:val="4DB85D19"/>
    <w:rsid w:val="4E7A67CA"/>
    <w:rsid w:val="50C81039"/>
    <w:rsid w:val="50CA40E9"/>
    <w:rsid w:val="50D10406"/>
    <w:rsid w:val="511B6CC6"/>
    <w:rsid w:val="51260D5A"/>
    <w:rsid w:val="51473938"/>
    <w:rsid w:val="51693E8D"/>
    <w:rsid w:val="52375A0E"/>
    <w:rsid w:val="52621BD9"/>
    <w:rsid w:val="52A97C63"/>
    <w:rsid w:val="52F51D7A"/>
    <w:rsid w:val="53561CF1"/>
    <w:rsid w:val="535F19B4"/>
    <w:rsid w:val="539E4698"/>
    <w:rsid w:val="53B7501B"/>
    <w:rsid w:val="53F706DF"/>
    <w:rsid w:val="54082010"/>
    <w:rsid w:val="547D472A"/>
    <w:rsid w:val="54B1358B"/>
    <w:rsid w:val="54BF6A2F"/>
    <w:rsid w:val="55D26B8C"/>
    <w:rsid w:val="55D758F7"/>
    <w:rsid w:val="55E937B4"/>
    <w:rsid w:val="56434734"/>
    <w:rsid w:val="56914672"/>
    <w:rsid w:val="56A93E6F"/>
    <w:rsid w:val="56AB0965"/>
    <w:rsid w:val="56E726FA"/>
    <w:rsid w:val="572E5DC7"/>
    <w:rsid w:val="57761815"/>
    <w:rsid w:val="582831C7"/>
    <w:rsid w:val="585E2FE9"/>
    <w:rsid w:val="586A1582"/>
    <w:rsid w:val="58860265"/>
    <w:rsid w:val="58A67DCC"/>
    <w:rsid w:val="58C039FF"/>
    <w:rsid w:val="591132B2"/>
    <w:rsid w:val="591C6DCB"/>
    <w:rsid w:val="59A2007B"/>
    <w:rsid w:val="5A14661E"/>
    <w:rsid w:val="5A29579B"/>
    <w:rsid w:val="5A3367F9"/>
    <w:rsid w:val="5A5F4760"/>
    <w:rsid w:val="5A8977E9"/>
    <w:rsid w:val="5AA275F1"/>
    <w:rsid w:val="5ACF16F5"/>
    <w:rsid w:val="5AF80A0E"/>
    <w:rsid w:val="5B09371F"/>
    <w:rsid w:val="5B0A386F"/>
    <w:rsid w:val="5B11477A"/>
    <w:rsid w:val="5B203FCA"/>
    <w:rsid w:val="5BF3381C"/>
    <w:rsid w:val="5BFD5BC7"/>
    <w:rsid w:val="5C186909"/>
    <w:rsid w:val="5C1B054F"/>
    <w:rsid w:val="5D1B7F72"/>
    <w:rsid w:val="5D29676B"/>
    <w:rsid w:val="5D6D13B8"/>
    <w:rsid w:val="5DAB0ECD"/>
    <w:rsid w:val="5DCD734B"/>
    <w:rsid w:val="5F48634B"/>
    <w:rsid w:val="5F583523"/>
    <w:rsid w:val="5F883C04"/>
    <w:rsid w:val="6061230C"/>
    <w:rsid w:val="6078534E"/>
    <w:rsid w:val="608A7F42"/>
    <w:rsid w:val="60921911"/>
    <w:rsid w:val="60EB28FA"/>
    <w:rsid w:val="61425C64"/>
    <w:rsid w:val="61E51300"/>
    <w:rsid w:val="621561FD"/>
    <w:rsid w:val="633B2E7A"/>
    <w:rsid w:val="63450BF1"/>
    <w:rsid w:val="63597A5A"/>
    <w:rsid w:val="63664B67"/>
    <w:rsid w:val="6393767A"/>
    <w:rsid w:val="63D2419E"/>
    <w:rsid w:val="64694C87"/>
    <w:rsid w:val="64EF4192"/>
    <w:rsid w:val="64F5044D"/>
    <w:rsid w:val="664A5FCF"/>
    <w:rsid w:val="66584D3A"/>
    <w:rsid w:val="669A1260"/>
    <w:rsid w:val="67D27C2A"/>
    <w:rsid w:val="684372CA"/>
    <w:rsid w:val="68E83B20"/>
    <w:rsid w:val="69304EAE"/>
    <w:rsid w:val="694032D3"/>
    <w:rsid w:val="694D1200"/>
    <w:rsid w:val="699D7B46"/>
    <w:rsid w:val="6A6B3DF9"/>
    <w:rsid w:val="6B2820FD"/>
    <w:rsid w:val="6B2A59FC"/>
    <w:rsid w:val="6BAE65B4"/>
    <w:rsid w:val="6BE005CE"/>
    <w:rsid w:val="6BE54DD4"/>
    <w:rsid w:val="6BEA7FC6"/>
    <w:rsid w:val="6C330B29"/>
    <w:rsid w:val="6C6227CC"/>
    <w:rsid w:val="6C9268DD"/>
    <w:rsid w:val="6CA6203D"/>
    <w:rsid w:val="6CE3535A"/>
    <w:rsid w:val="6D384C03"/>
    <w:rsid w:val="6D535020"/>
    <w:rsid w:val="6D7129C1"/>
    <w:rsid w:val="6E0B2741"/>
    <w:rsid w:val="6E821874"/>
    <w:rsid w:val="6EB66A2A"/>
    <w:rsid w:val="6ED42B43"/>
    <w:rsid w:val="6F5B623F"/>
    <w:rsid w:val="6F867D74"/>
    <w:rsid w:val="6FA453C4"/>
    <w:rsid w:val="704213CB"/>
    <w:rsid w:val="704714F2"/>
    <w:rsid w:val="704927A1"/>
    <w:rsid w:val="709F0451"/>
    <w:rsid w:val="715369FA"/>
    <w:rsid w:val="71C66BFB"/>
    <w:rsid w:val="72121018"/>
    <w:rsid w:val="723A1544"/>
    <w:rsid w:val="724510BC"/>
    <w:rsid w:val="724957C3"/>
    <w:rsid w:val="725C5065"/>
    <w:rsid w:val="7264719D"/>
    <w:rsid w:val="72720BF5"/>
    <w:rsid w:val="731376D1"/>
    <w:rsid w:val="73205BC1"/>
    <w:rsid w:val="73390260"/>
    <w:rsid w:val="733C12E1"/>
    <w:rsid w:val="736B48B2"/>
    <w:rsid w:val="737151FA"/>
    <w:rsid w:val="73D2686D"/>
    <w:rsid w:val="74DD737C"/>
    <w:rsid w:val="74FD2BE0"/>
    <w:rsid w:val="751F2C42"/>
    <w:rsid w:val="75B34A76"/>
    <w:rsid w:val="760C41C8"/>
    <w:rsid w:val="763D7961"/>
    <w:rsid w:val="76C824B1"/>
    <w:rsid w:val="771E7293"/>
    <w:rsid w:val="77622782"/>
    <w:rsid w:val="77D822A3"/>
    <w:rsid w:val="77FA4256"/>
    <w:rsid w:val="7848709C"/>
    <w:rsid w:val="78580460"/>
    <w:rsid w:val="785A7621"/>
    <w:rsid w:val="7908404B"/>
    <w:rsid w:val="79400CDE"/>
    <w:rsid w:val="79433E4F"/>
    <w:rsid w:val="79C5734F"/>
    <w:rsid w:val="79C859FC"/>
    <w:rsid w:val="7A142BEC"/>
    <w:rsid w:val="7AAA75CA"/>
    <w:rsid w:val="7B0916EF"/>
    <w:rsid w:val="7B134CE5"/>
    <w:rsid w:val="7B922102"/>
    <w:rsid w:val="7BAA0415"/>
    <w:rsid w:val="7BB46B05"/>
    <w:rsid w:val="7BF653A2"/>
    <w:rsid w:val="7C557450"/>
    <w:rsid w:val="7C637121"/>
    <w:rsid w:val="7C683868"/>
    <w:rsid w:val="7D381B9E"/>
    <w:rsid w:val="7D6324E2"/>
    <w:rsid w:val="7E4D5663"/>
    <w:rsid w:val="7E831141"/>
    <w:rsid w:val="7ECA2A50"/>
    <w:rsid w:val="7EF45973"/>
    <w:rsid w:val="7FAD14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39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40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2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link w:val="49"/>
    <w:semiHidden/>
    <w:unhideWhenUsed/>
    <w:qFormat/>
    <w:uiPriority w:val="0"/>
    <w:pPr>
      <w:keepNext/>
      <w:keepLines/>
      <w:spacing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/>
      <w:ind w:left="1440" w:leftChars="700" w:right="700" w:rightChars="700"/>
    </w:pPr>
  </w:style>
  <w:style w:type="paragraph" w:styleId="9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10">
    <w:name w:val="Document Map"/>
    <w:basedOn w:val="1"/>
    <w:link w:val="53"/>
    <w:qFormat/>
    <w:uiPriority w:val="0"/>
    <w:rPr>
      <w:rFonts w:ascii="宋体"/>
      <w:sz w:val="16"/>
      <w:szCs w:val="16"/>
    </w:rPr>
  </w:style>
  <w:style w:type="paragraph" w:styleId="11">
    <w:name w:val="annotation text"/>
    <w:basedOn w:val="1"/>
    <w:link w:val="48"/>
    <w:qFormat/>
    <w:uiPriority w:val="0"/>
  </w:style>
  <w:style w:type="paragraph" w:styleId="12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13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15">
    <w:name w:val="Balloon Text"/>
    <w:basedOn w:val="1"/>
    <w:link w:val="51"/>
    <w:qFormat/>
    <w:uiPriority w:val="0"/>
    <w:pPr>
      <w:spacing w:line="240" w:lineRule="auto"/>
    </w:pPr>
    <w:rPr>
      <w:sz w:val="16"/>
      <w:szCs w:val="16"/>
    </w:rPr>
  </w:style>
  <w:style w:type="paragraph" w:styleId="1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20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21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  <w:jc w:val="both"/>
    </w:pPr>
    <w:rPr>
      <w:rFonts w:asciiTheme="minorHAnsi" w:hAnsiTheme="minorHAnsi" w:eastAsiaTheme="minorEastAsia" w:cstheme="minorBidi"/>
      <w:szCs w:val="22"/>
    </w:rPr>
  </w:style>
  <w:style w:type="paragraph" w:styleId="23">
    <w:name w:val="Normal (Web)"/>
    <w:basedOn w:val="1"/>
    <w:qFormat/>
    <w:uiPriority w:val="0"/>
    <w:rPr>
      <w:sz w:val="24"/>
    </w:rPr>
  </w:style>
  <w:style w:type="character" w:styleId="26">
    <w:name w:val="Strong"/>
    <w:basedOn w:val="25"/>
    <w:qFormat/>
    <w:uiPriority w:val="0"/>
  </w:style>
  <w:style w:type="character" w:styleId="27">
    <w:name w:val="FollowedHyperlink"/>
    <w:basedOn w:val="25"/>
    <w:qFormat/>
    <w:uiPriority w:val="0"/>
    <w:rPr>
      <w:color w:val="800080"/>
      <w:u w:val="none"/>
    </w:rPr>
  </w:style>
  <w:style w:type="character" w:styleId="28">
    <w:name w:val="Emphasis"/>
    <w:basedOn w:val="25"/>
    <w:qFormat/>
    <w:uiPriority w:val="0"/>
  </w:style>
  <w:style w:type="character" w:styleId="29">
    <w:name w:val="HTML Definition"/>
    <w:basedOn w:val="25"/>
    <w:qFormat/>
    <w:uiPriority w:val="0"/>
  </w:style>
  <w:style w:type="character" w:styleId="30">
    <w:name w:val="HTML Typewriter"/>
    <w:basedOn w:val="25"/>
    <w:qFormat/>
    <w:uiPriority w:val="0"/>
    <w:rPr>
      <w:rFonts w:ascii="monospace" w:hAnsi="monospace" w:eastAsia="monospace" w:cs="monospace"/>
      <w:sz w:val="20"/>
    </w:rPr>
  </w:style>
  <w:style w:type="character" w:styleId="31">
    <w:name w:val="HTML Acronym"/>
    <w:basedOn w:val="25"/>
    <w:qFormat/>
    <w:uiPriority w:val="0"/>
    <w:rPr>
      <w:rFonts w:ascii="ActionIcon ! important" w:hAnsi="ActionIcon ! important" w:eastAsia="ActionIcon ! important" w:cs="ActionIcon ! important"/>
      <w:vanish/>
      <w:color w:val="3D4B62"/>
      <w:sz w:val="16"/>
      <w:szCs w:val="16"/>
    </w:rPr>
  </w:style>
  <w:style w:type="character" w:styleId="32">
    <w:name w:val="HTML Variable"/>
    <w:basedOn w:val="25"/>
    <w:qFormat/>
    <w:uiPriority w:val="0"/>
  </w:style>
  <w:style w:type="character" w:styleId="33">
    <w:name w:val="Hyperlink"/>
    <w:basedOn w:val="25"/>
    <w:qFormat/>
    <w:uiPriority w:val="99"/>
    <w:rPr>
      <w:color w:val="0000FF"/>
      <w:u w:val="single"/>
    </w:rPr>
  </w:style>
  <w:style w:type="character" w:styleId="34">
    <w:name w:val="HTML Code"/>
    <w:basedOn w:val="25"/>
    <w:qFormat/>
    <w:uiPriority w:val="0"/>
    <w:rPr>
      <w:rFonts w:hint="default" w:ascii="monospace" w:hAnsi="monospace" w:eastAsia="monospace" w:cs="monospace"/>
      <w:sz w:val="20"/>
    </w:rPr>
  </w:style>
  <w:style w:type="character" w:styleId="35">
    <w:name w:val="HTML Cite"/>
    <w:basedOn w:val="25"/>
    <w:qFormat/>
    <w:uiPriority w:val="0"/>
  </w:style>
  <w:style w:type="character" w:styleId="36">
    <w:name w:val="HTML Keyboard"/>
    <w:basedOn w:val="25"/>
    <w:qFormat/>
    <w:uiPriority w:val="0"/>
    <w:rPr>
      <w:rFonts w:hint="default" w:ascii="monospace" w:hAnsi="monospace" w:eastAsia="monospace" w:cs="monospace"/>
      <w:sz w:val="20"/>
    </w:rPr>
  </w:style>
  <w:style w:type="character" w:styleId="37">
    <w:name w:val="HTML Sample"/>
    <w:basedOn w:val="25"/>
    <w:qFormat/>
    <w:uiPriority w:val="0"/>
    <w:rPr>
      <w:rFonts w:hint="default" w:ascii="monospace" w:hAnsi="monospace" w:eastAsia="monospace" w:cs="monospace"/>
    </w:rPr>
  </w:style>
  <w:style w:type="paragraph" w:customStyle="1" w:styleId="38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character" w:customStyle="1" w:styleId="39">
    <w:name w:val="标题 1 Char"/>
    <w:link w:val="3"/>
    <w:qFormat/>
    <w:uiPriority w:val="0"/>
    <w:rPr>
      <w:b/>
      <w:bCs/>
      <w:kern w:val="44"/>
      <w:sz w:val="32"/>
      <w:szCs w:val="28"/>
    </w:rPr>
  </w:style>
  <w:style w:type="character" w:customStyle="1" w:styleId="40">
    <w:name w:val="标题 2 Char"/>
    <w:link w:val="4"/>
    <w:qFormat/>
    <w:uiPriority w:val="0"/>
    <w:rPr>
      <w:b/>
      <w:bCs/>
      <w:sz w:val="30"/>
      <w:szCs w:val="32"/>
    </w:rPr>
  </w:style>
  <w:style w:type="paragraph" w:customStyle="1" w:styleId="41">
    <w:name w:val="1"/>
    <w:basedOn w:val="1"/>
    <w:link w:val="50"/>
    <w:qFormat/>
    <w:uiPriority w:val="0"/>
    <w:pPr>
      <w:ind w:firstLine="0" w:firstLineChars="0"/>
    </w:pPr>
  </w:style>
  <w:style w:type="paragraph" w:customStyle="1" w:styleId="42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43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44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5">
    <w:name w:val="List Paragraph"/>
    <w:basedOn w:val="1"/>
    <w:qFormat/>
    <w:uiPriority w:val="34"/>
  </w:style>
  <w:style w:type="paragraph" w:customStyle="1" w:styleId="46">
    <w:name w:val="mini-messagebox-msg"/>
    <w:basedOn w:val="1"/>
    <w:qFormat/>
    <w:uiPriority w:val="0"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47">
    <w:name w:val="mini-outputtext1"/>
    <w:basedOn w:val="25"/>
    <w:qFormat/>
    <w:uiPriority w:val="0"/>
  </w:style>
  <w:style w:type="character" w:customStyle="1" w:styleId="48">
    <w:name w:val="批注文字 Char"/>
    <w:link w:val="11"/>
    <w:qFormat/>
    <w:uiPriority w:val="0"/>
  </w:style>
  <w:style w:type="character" w:customStyle="1" w:styleId="49">
    <w:name w:val="标题 6 Char"/>
    <w:link w:val="8"/>
    <w:qFormat/>
    <w:uiPriority w:val="0"/>
    <w:rPr>
      <w:rFonts w:ascii="Arial" w:hAnsi="Arial" w:eastAsia="黑体"/>
      <w:b/>
      <w:sz w:val="24"/>
    </w:rPr>
  </w:style>
  <w:style w:type="character" w:customStyle="1" w:styleId="50">
    <w:name w:val="1 Char"/>
    <w:link w:val="41"/>
    <w:qFormat/>
    <w:uiPriority w:val="0"/>
  </w:style>
  <w:style w:type="character" w:customStyle="1" w:styleId="51">
    <w:name w:val="批注框文本 Char"/>
    <w:basedOn w:val="25"/>
    <w:link w:val="15"/>
    <w:qFormat/>
    <w:uiPriority w:val="0"/>
    <w:rPr>
      <w:kern w:val="2"/>
      <w:sz w:val="16"/>
      <w:szCs w:val="16"/>
    </w:rPr>
  </w:style>
  <w:style w:type="paragraph" w:customStyle="1" w:styleId="52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53">
    <w:name w:val="文档结构图 Char"/>
    <w:basedOn w:val="25"/>
    <w:link w:val="10"/>
    <w:qFormat/>
    <w:uiPriority w:val="0"/>
    <w:rPr>
      <w:rFonts w:ascii="宋体"/>
      <w:kern w:val="2"/>
      <w:sz w:val="16"/>
      <w:szCs w:val="16"/>
    </w:rPr>
  </w:style>
  <w:style w:type="character" w:customStyle="1" w:styleId="54">
    <w:name w:val="hover1"/>
    <w:basedOn w:val="25"/>
    <w:qFormat/>
    <w:uiPriority w:val="0"/>
    <w:rPr>
      <w:color w:val="2590EB"/>
    </w:rPr>
  </w:style>
  <w:style w:type="character" w:customStyle="1" w:styleId="55">
    <w:name w:val="hover2"/>
    <w:basedOn w:val="25"/>
    <w:qFormat/>
    <w:uiPriority w:val="0"/>
    <w:rPr>
      <w:color w:val="2590EB"/>
    </w:rPr>
  </w:style>
  <w:style w:type="character" w:customStyle="1" w:styleId="56">
    <w:name w:val="hover3"/>
    <w:basedOn w:val="25"/>
    <w:qFormat/>
    <w:uiPriority w:val="0"/>
  </w:style>
  <w:style w:type="character" w:customStyle="1" w:styleId="57">
    <w:name w:val="time"/>
    <w:basedOn w:val="25"/>
    <w:qFormat/>
    <w:uiPriority w:val="0"/>
  </w:style>
  <w:style w:type="character" w:customStyle="1" w:styleId="58">
    <w:name w:val="status"/>
    <w:basedOn w:val="25"/>
    <w:qFormat/>
    <w:uiPriority w:val="0"/>
    <w:rPr>
      <w:color w:val="0776DD"/>
    </w:rPr>
  </w:style>
  <w:style w:type="paragraph" w:customStyle="1" w:styleId="59">
    <w:name w:val="样式2"/>
    <w:basedOn w:val="1"/>
    <w:qFormat/>
    <w:uiPriority w:val="0"/>
    <w:pPr>
      <w:ind w:firstLine="0" w:firstLineChars="0"/>
      <w:jc w:val="center"/>
    </w:pPr>
    <w:rPr>
      <w:rFonts w:hint="eastAsia"/>
    </w:rPr>
  </w:style>
  <w:style w:type="paragraph" w:customStyle="1" w:styleId="60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6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6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6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1" Type="http://schemas.openxmlformats.org/officeDocument/2006/relationships/fontTable" Target="fontTable.xml"/><Relationship Id="rId80" Type="http://schemas.openxmlformats.org/officeDocument/2006/relationships/customXml" Target="../customXml/item2.xml"/><Relationship Id="rId8" Type="http://schemas.openxmlformats.org/officeDocument/2006/relationships/footer" Target="footer1.xml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62.png"/><Relationship Id="rId76" Type="http://schemas.openxmlformats.org/officeDocument/2006/relationships/image" Target="media/image61.png"/><Relationship Id="rId75" Type="http://schemas.openxmlformats.org/officeDocument/2006/relationships/image" Target="media/image60.png"/><Relationship Id="rId74" Type="http://schemas.openxmlformats.org/officeDocument/2006/relationships/image" Target="media/image59.png"/><Relationship Id="rId73" Type="http://schemas.openxmlformats.org/officeDocument/2006/relationships/image" Target="media/image58.png"/><Relationship Id="rId72" Type="http://schemas.openxmlformats.org/officeDocument/2006/relationships/image" Target="media/image57.png"/><Relationship Id="rId71" Type="http://schemas.openxmlformats.org/officeDocument/2006/relationships/image" Target="media/image56.png"/><Relationship Id="rId70" Type="http://schemas.openxmlformats.org/officeDocument/2006/relationships/image" Target="media/image55.png"/><Relationship Id="rId7" Type="http://schemas.openxmlformats.org/officeDocument/2006/relationships/header" Target="header3.xml"/><Relationship Id="rId69" Type="http://schemas.openxmlformats.org/officeDocument/2006/relationships/image" Target="media/image54.png"/><Relationship Id="rId68" Type="http://schemas.openxmlformats.org/officeDocument/2006/relationships/image" Target="media/image53.png"/><Relationship Id="rId67" Type="http://schemas.openxmlformats.org/officeDocument/2006/relationships/image" Target="media/image52.png"/><Relationship Id="rId66" Type="http://schemas.openxmlformats.org/officeDocument/2006/relationships/image" Target="media/image51.png"/><Relationship Id="rId65" Type="http://schemas.openxmlformats.org/officeDocument/2006/relationships/image" Target="media/image50.png"/><Relationship Id="rId64" Type="http://schemas.openxmlformats.org/officeDocument/2006/relationships/image" Target="media/image49.png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png"/><Relationship Id="rId60" Type="http://schemas.openxmlformats.org/officeDocument/2006/relationships/image" Target="media/image45.png"/><Relationship Id="rId6" Type="http://schemas.openxmlformats.org/officeDocument/2006/relationships/header" Target="header2.xml"/><Relationship Id="rId59" Type="http://schemas.openxmlformats.org/officeDocument/2006/relationships/image" Target="media/image44.png"/><Relationship Id="rId58" Type="http://schemas.openxmlformats.org/officeDocument/2006/relationships/image" Target="media/image43.png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7F08D7-6756-4848-AECD-E8BAB6E9A0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CHINA</Company>
  <Pages>30</Pages>
  <Words>670</Words>
  <Characters>3824</Characters>
  <Lines>31</Lines>
  <Paragraphs>8</Paragraphs>
  <TotalTime>5</TotalTime>
  <ScaleCrop>false</ScaleCrop>
  <LinksUpToDate>false</LinksUpToDate>
  <CharactersWithSpaces>4486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2018-08-06T01:34:00Z</dcterms:created>
  <dc:creator>﹎ωǒ们偠开鈊</dc:creator>
  <cp:lastModifiedBy>Vanity</cp:lastModifiedBy>
  <dcterms:modified xsi:type="dcterms:W3CDTF">2023-12-06T07:11:10Z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E5BB488F0FD844EFAB8483E90F4BDBDB</vt:lpwstr>
  </property>
</Properties>
</file>