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1A20">
      <w:pPr>
        <w:pStyle w:val="47"/>
        <w:keepNext w:val="0"/>
        <w:keepLines w:val="0"/>
        <w:pageBreakBefore w:val="0"/>
        <w:widowControl w:val="0"/>
        <w:kinsoku/>
        <w:wordWrap/>
        <w:overflowPunct w:val="0"/>
        <w:topLinePunct w:val="0"/>
        <w:autoSpaceDE w:val="0"/>
        <w:autoSpaceDN w:val="0"/>
        <w:bidi w:val="0"/>
        <w:adjustRightInd w:val="0"/>
        <w:snapToGrid/>
        <w:spacing w:line="400" w:lineRule="exact"/>
        <w:textAlignment w:val="baseline"/>
        <w:rPr>
          <w:rFonts w:hint="eastAsia" w:asciiTheme="minorEastAsia" w:hAnsiTheme="minorEastAsia" w:eastAsiaTheme="minorEastAsia" w:cstheme="minorEastAsia"/>
          <w:color w:val="auto"/>
          <w:sz w:val="84"/>
          <w:szCs w:val="84"/>
          <w:highlight w:val="none"/>
        </w:rPr>
      </w:pPr>
    </w:p>
    <w:p w14:paraId="7BA44A54">
      <w:pPr>
        <w:pStyle w:val="26"/>
        <w:keepNext w:val="0"/>
        <w:keepLines w:val="0"/>
        <w:pageBreakBefore w:val="0"/>
        <w:widowControl/>
        <w:kinsoku/>
        <w:wordWrap/>
        <w:overflowPunct/>
        <w:topLinePunct w:val="0"/>
        <w:autoSpaceDE/>
        <w:autoSpaceDN/>
        <w:bidi w:val="0"/>
        <w:adjustRightInd/>
        <w:snapToGrid/>
        <w:spacing w:beforeAutospacing="0" w:afterAutospacing="0" w:line="1200" w:lineRule="exact"/>
        <w:jc w:val="center"/>
        <w:textAlignment w:val="auto"/>
        <w:rPr>
          <w:rFonts w:hint="eastAsia" w:cs="宋体"/>
          <w:b/>
          <w:bCs/>
          <w:kern w:val="2"/>
          <w:sz w:val="84"/>
          <w:szCs w:val="84"/>
          <w:highlight w:val="none"/>
          <w:lang w:val="en-US" w:eastAsia="zh-CN" w:bidi="ar-SA"/>
        </w:rPr>
      </w:pPr>
      <w:r>
        <w:rPr>
          <w:rFonts w:hint="eastAsia" w:cs="宋体"/>
          <w:b/>
          <w:bCs/>
          <w:kern w:val="2"/>
          <w:sz w:val="84"/>
          <w:szCs w:val="84"/>
          <w:highlight w:val="none"/>
          <w:lang w:val="en-US" w:eastAsia="zh-CN" w:bidi="ar-SA"/>
        </w:rPr>
        <w:t>南平武夷文旅研究院</w:t>
      </w:r>
    </w:p>
    <w:p w14:paraId="7DE49E7D">
      <w:pPr>
        <w:pStyle w:val="26"/>
        <w:keepNext w:val="0"/>
        <w:keepLines w:val="0"/>
        <w:pageBreakBefore w:val="0"/>
        <w:widowControl/>
        <w:kinsoku/>
        <w:wordWrap/>
        <w:overflowPunct/>
        <w:topLinePunct w:val="0"/>
        <w:autoSpaceDE/>
        <w:autoSpaceDN/>
        <w:bidi w:val="0"/>
        <w:adjustRightInd/>
        <w:snapToGrid/>
        <w:spacing w:beforeAutospacing="0" w:afterAutospacing="0" w:line="1200" w:lineRule="exact"/>
        <w:jc w:val="center"/>
        <w:textAlignment w:val="auto"/>
        <w:rPr>
          <w:rFonts w:hint="eastAsia" w:ascii="宋体" w:hAnsi="宋体" w:eastAsia="宋体" w:cs="宋体"/>
          <w:b/>
          <w:bCs/>
          <w:kern w:val="2"/>
          <w:sz w:val="84"/>
          <w:szCs w:val="84"/>
          <w:highlight w:val="none"/>
          <w:lang w:val="en-US" w:eastAsia="zh-CN" w:bidi="ar-SA"/>
        </w:rPr>
      </w:pPr>
      <w:r>
        <w:rPr>
          <w:rFonts w:hint="eastAsia" w:cs="宋体"/>
          <w:b/>
          <w:bCs/>
          <w:kern w:val="2"/>
          <w:sz w:val="84"/>
          <w:szCs w:val="84"/>
          <w:highlight w:val="none"/>
          <w:lang w:val="en-US" w:eastAsia="zh-CN" w:bidi="ar-SA"/>
        </w:rPr>
        <w:t>有限公司</w:t>
      </w:r>
    </w:p>
    <w:p w14:paraId="0A267803">
      <w:pPr>
        <w:keepNext w:val="0"/>
        <w:keepLines w:val="0"/>
        <w:pageBreakBefore w:val="0"/>
        <w:kinsoku/>
        <w:wordWrap/>
        <w:overflowPunct/>
        <w:topLinePunct w:val="0"/>
        <w:autoSpaceDE/>
        <w:autoSpaceDN/>
        <w:bidi w:val="0"/>
        <w:adjustRightInd/>
        <w:snapToGrid/>
        <w:spacing w:line="1200" w:lineRule="exact"/>
        <w:jc w:val="center"/>
        <w:textAlignment w:val="auto"/>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货物和服务项目</w:t>
      </w:r>
    </w:p>
    <w:p w14:paraId="6E0660D0">
      <w:pPr>
        <w:keepNext w:val="0"/>
        <w:keepLines w:val="0"/>
        <w:pageBreakBefore w:val="0"/>
        <w:kinsoku/>
        <w:wordWrap/>
        <w:overflowPunct/>
        <w:topLinePunct w:val="0"/>
        <w:autoSpaceDE/>
        <w:autoSpaceDN/>
        <w:bidi w:val="0"/>
        <w:adjustRightInd/>
        <w:snapToGrid/>
        <w:spacing w:line="1200" w:lineRule="exact"/>
        <w:jc w:val="center"/>
        <w:textAlignment w:val="auto"/>
      </w:pPr>
      <w:r>
        <w:rPr>
          <w:rFonts w:hint="eastAsia" w:ascii="宋体" w:hAnsi="宋体" w:eastAsia="宋体" w:cs="宋体"/>
          <w:b/>
          <w:bCs/>
          <w:color w:val="auto"/>
          <w:sz w:val="84"/>
          <w:szCs w:val="84"/>
          <w:shd w:val="clear" w:color="auto" w:fill="FFFFFF"/>
          <w:lang w:eastAsia="zh-CN"/>
        </w:rPr>
        <w:t>公开招标文件</w:t>
      </w:r>
    </w:p>
    <w:p w14:paraId="342E80A9">
      <w:pPr>
        <w:pStyle w:val="31"/>
      </w:pPr>
    </w:p>
    <w:p w14:paraId="02EA32B9">
      <w:pPr>
        <w:pStyle w:val="31"/>
      </w:pPr>
    </w:p>
    <w:p w14:paraId="149300D6">
      <w:pPr>
        <w:pStyle w:val="31"/>
        <w:ind w:left="0" w:leftChars="0" w:firstLine="0" w:firstLineChars="0"/>
      </w:pPr>
    </w:p>
    <w:p w14:paraId="79366B86">
      <w:pPr>
        <w:pStyle w:val="26"/>
        <w:widowControl/>
        <w:spacing w:before="0" w:beforeAutospacing="0" w:after="0" w:afterAutospacing="0" w:line="660" w:lineRule="exact"/>
        <w:jc w:val="center"/>
        <w:rPr>
          <w:rStyle w:val="35"/>
          <w:rFonts w:hint="eastAsia" w:cs="宋体"/>
          <w:sz w:val="32"/>
          <w:szCs w:val="32"/>
          <w:lang w:eastAsia="zh-CN"/>
        </w:rPr>
      </w:pPr>
      <w:r>
        <w:rPr>
          <w:rStyle w:val="35"/>
          <w:rFonts w:hint="eastAsia" w:cs="宋体"/>
          <w:sz w:val="32"/>
          <w:szCs w:val="32"/>
          <w:lang w:eastAsia="zh-CN"/>
        </w:rPr>
        <w:t>项目名称：南平市铁路旅游主题列车改造项目</w:t>
      </w:r>
    </w:p>
    <w:p w14:paraId="68533119">
      <w:pPr>
        <w:pStyle w:val="26"/>
        <w:widowControl/>
        <w:spacing w:before="0" w:beforeAutospacing="0" w:after="0" w:afterAutospacing="0" w:line="660" w:lineRule="exact"/>
        <w:jc w:val="center"/>
        <w:rPr>
          <w:rStyle w:val="35"/>
          <w:rFonts w:hint="eastAsia" w:cs="宋体"/>
          <w:sz w:val="32"/>
          <w:szCs w:val="32"/>
          <w:lang w:val="en-US" w:eastAsia="zh-CN"/>
        </w:rPr>
      </w:pPr>
      <w:r>
        <w:rPr>
          <w:rStyle w:val="35"/>
          <w:rFonts w:hint="eastAsia" w:cs="宋体"/>
          <w:sz w:val="32"/>
          <w:szCs w:val="32"/>
          <w:lang w:eastAsia="zh-CN"/>
        </w:rPr>
        <w:t>项目</w:t>
      </w:r>
      <w:r>
        <w:rPr>
          <w:rStyle w:val="35"/>
          <w:rFonts w:hint="eastAsia" w:ascii="宋体" w:hAnsi="宋体" w:cs="宋体"/>
          <w:sz w:val="32"/>
          <w:szCs w:val="32"/>
        </w:rPr>
        <w:t>编号</w:t>
      </w:r>
      <w:r>
        <w:rPr>
          <w:rStyle w:val="35"/>
          <w:rFonts w:hint="eastAsia" w:ascii="宋体" w:hAnsi="宋体" w:eastAsia="宋体" w:cs="宋体"/>
          <w:sz w:val="32"/>
          <w:szCs w:val="32"/>
        </w:rPr>
        <w:t>：</w:t>
      </w:r>
      <w:r>
        <w:rPr>
          <w:rStyle w:val="35"/>
          <w:rFonts w:hint="eastAsia" w:ascii="宋体" w:hAnsi="宋体" w:eastAsia="宋体" w:cs="宋体"/>
          <w:sz w:val="32"/>
          <w:szCs w:val="32"/>
          <w:lang w:eastAsia="zh-CN"/>
        </w:rPr>
        <w:t>DYZB[GK]202601-02</w:t>
      </w:r>
    </w:p>
    <w:p w14:paraId="78F8C39D">
      <w:pPr>
        <w:pStyle w:val="26"/>
        <w:widowControl/>
        <w:spacing w:before="0" w:beforeAutospacing="0" w:after="0" w:afterAutospacing="0" w:line="660" w:lineRule="exact"/>
        <w:jc w:val="center"/>
        <w:rPr>
          <w:rStyle w:val="35"/>
          <w:rFonts w:hint="eastAsia" w:cs="宋体"/>
          <w:sz w:val="32"/>
          <w:szCs w:val="32"/>
          <w:lang w:eastAsia="zh-CN"/>
        </w:rPr>
      </w:pPr>
    </w:p>
    <w:p w14:paraId="17C82158">
      <w:pPr>
        <w:pStyle w:val="31"/>
        <w:ind w:left="0" w:leftChars="0" w:firstLine="0" w:firstLineChars="0"/>
        <w:rPr>
          <w:sz w:val="32"/>
          <w:szCs w:val="32"/>
        </w:rPr>
      </w:pPr>
    </w:p>
    <w:p w14:paraId="3CE24CA5">
      <w:pPr>
        <w:pStyle w:val="31"/>
        <w:spacing w:line="400" w:lineRule="exact"/>
        <w:ind w:left="0" w:leftChars="0" w:firstLine="0" w:firstLineChars="0"/>
        <w:rPr>
          <w:sz w:val="32"/>
          <w:szCs w:val="32"/>
        </w:rPr>
      </w:pPr>
    </w:p>
    <w:p w14:paraId="07D06FAE">
      <w:pPr>
        <w:pStyle w:val="26"/>
        <w:keepNext w:val="0"/>
        <w:keepLines w:val="0"/>
        <w:pageBreakBefore w:val="0"/>
        <w:widowControl/>
        <w:kinsoku/>
        <w:wordWrap/>
        <w:overflowPunct/>
        <w:topLinePunct w:val="0"/>
        <w:bidi w:val="0"/>
        <w:snapToGrid/>
        <w:spacing w:before="0" w:beforeLines="0" w:beforeAutospacing="0" w:after="0" w:afterLines="0" w:afterAutospacing="0" w:line="620" w:lineRule="exact"/>
        <w:jc w:val="center"/>
        <w:textAlignment w:val="auto"/>
        <w:rPr>
          <w:rStyle w:val="35"/>
          <w:rFonts w:hint="eastAsia" w:ascii="宋体" w:hAnsi="宋体" w:eastAsia="宋体" w:cs="宋体"/>
          <w:sz w:val="32"/>
          <w:szCs w:val="32"/>
          <w:lang w:eastAsia="zh-CN"/>
        </w:rPr>
      </w:pPr>
      <w:r>
        <w:rPr>
          <w:rFonts w:hint="eastAsia" w:ascii="宋体" w:hAnsi="宋体" w:eastAsia="宋体" w:cs="宋体"/>
          <w:b/>
          <w:color w:val="auto"/>
          <w:sz w:val="32"/>
          <w:szCs w:val="32"/>
        </w:rPr>
        <w:t>采购人</w:t>
      </w:r>
      <w:r>
        <w:rPr>
          <w:rStyle w:val="35"/>
          <w:rFonts w:hint="eastAsia" w:ascii="宋体" w:hAnsi="宋体" w:cs="宋体"/>
          <w:sz w:val="32"/>
          <w:szCs w:val="32"/>
        </w:rPr>
        <w:t>：</w:t>
      </w:r>
      <w:r>
        <w:rPr>
          <w:rStyle w:val="35"/>
          <w:rFonts w:hint="eastAsia"/>
          <w:sz w:val="32"/>
          <w:szCs w:val="32"/>
          <w:lang w:eastAsia="zh-CN"/>
        </w:rPr>
        <w:t>南平武夷文旅研究院有限公司</w:t>
      </w:r>
    </w:p>
    <w:p w14:paraId="6983623C">
      <w:pPr>
        <w:keepNext w:val="0"/>
        <w:keepLines w:val="0"/>
        <w:pageBreakBefore w:val="0"/>
        <w:widowControl/>
        <w:kinsoku/>
        <w:wordWrap/>
        <w:overflowPunct/>
        <w:topLinePunct w:val="0"/>
        <w:autoSpaceDE w:val="0"/>
        <w:autoSpaceDN w:val="0"/>
        <w:bidi w:val="0"/>
        <w:adjustRightInd w:val="0"/>
        <w:snapToGrid/>
        <w:spacing w:line="620" w:lineRule="exact"/>
        <w:jc w:val="center"/>
        <w:textAlignment w:val="auto"/>
        <w:rPr>
          <w:rFonts w:hint="eastAsia" w:ascii="宋体" w:hAnsi="宋体" w:eastAsia="宋体"/>
          <w:b/>
          <w:color w:val="000000"/>
          <w:sz w:val="32"/>
          <w:szCs w:val="32"/>
          <w:u w:val="thick"/>
          <w:lang w:eastAsia="zh-CN"/>
        </w:rPr>
      </w:pPr>
      <w:r>
        <w:rPr>
          <w:rFonts w:hint="eastAsia" w:ascii="宋体" w:hAnsi="宋体"/>
          <w:b/>
          <w:color w:val="000000"/>
          <w:sz w:val="32"/>
          <w:szCs w:val="32"/>
        </w:rPr>
        <w:t>代理机构：</w:t>
      </w:r>
      <w:r>
        <w:rPr>
          <w:rFonts w:hint="eastAsia"/>
          <w:b/>
          <w:bCs/>
          <w:sz w:val="32"/>
          <w:szCs w:val="32"/>
          <w:lang w:eastAsia="zh-CN"/>
        </w:rPr>
        <w:t>福建鼎御招标有限公司</w:t>
      </w:r>
    </w:p>
    <w:p w14:paraId="4841D100">
      <w:pPr>
        <w:pStyle w:val="7"/>
        <w:keepNext w:val="0"/>
        <w:keepLines w:val="0"/>
        <w:pageBreakBefore w:val="0"/>
        <w:kinsoku/>
        <w:wordWrap/>
        <w:overflowPunct/>
        <w:topLinePunct w:val="0"/>
        <w:bidi w:val="0"/>
        <w:snapToGrid/>
        <w:spacing w:line="620" w:lineRule="exact"/>
        <w:ind w:firstLine="0" w:firstLineChars="0"/>
        <w:jc w:val="center"/>
        <w:textAlignment w:val="auto"/>
        <w:rPr>
          <w:rFonts w:hint="eastAsia" w:ascii="宋体" w:hAnsi="宋体"/>
          <w:b/>
          <w:color w:val="000000"/>
          <w:sz w:val="32"/>
          <w:szCs w:val="32"/>
        </w:rPr>
      </w:pPr>
      <w:r>
        <w:rPr>
          <w:rFonts w:hint="eastAsia" w:ascii="宋体" w:hAnsi="宋体" w:eastAsia="宋体" w:cs="宋体"/>
          <w:b/>
          <w:color w:val="auto"/>
          <w:sz w:val="32"/>
          <w:szCs w:val="32"/>
        </w:rPr>
        <w:t>编制时间</w:t>
      </w:r>
      <w:r>
        <w:rPr>
          <w:rFonts w:hint="eastAsia" w:ascii="宋体" w:hAnsi="宋体"/>
          <w:b/>
          <w:color w:val="000000"/>
          <w:sz w:val="32"/>
          <w:szCs w:val="32"/>
        </w:rPr>
        <w:t>：202</w:t>
      </w:r>
      <w:r>
        <w:rPr>
          <w:rFonts w:hint="eastAsia" w:ascii="宋体" w:hAnsi="宋体"/>
          <w:b/>
          <w:color w:val="000000"/>
          <w:sz w:val="32"/>
          <w:szCs w:val="32"/>
          <w:lang w:val="en-US" w:eastAsia="zh-CN"/>
        </w:rPr>
        <w:t>6</w:t>
      </w:r>
      <w:r>
        <w:rPr>
          <w:rFonts w:hint="eastAsia" w:ascii="宋体" w:hAnsi="宋体"/>
          <w:b/>
          <w:color w:val="000000"/>
          <w:sz w:val="32"/>
          <w:szCs w:val="32"/>
        </w:rPr>
        <w:t>年</w:t>
      </w:r>
      <w:r>
        <w:rPr>
          <w:rFonts w:hint="eastAsia" w:ascii="宋体" w:hAnsi="宋体"/>
          <w:b/>
          <w:color w:val="000000"/>
          <w:sz w:val="32"/>
          <w:szCs w:val="32"/>
          <w:lang w:val="en-US" w:eastAsia="zh-CN"/>
        </w:rPr>
        <w:t>01</w:t>
      </w:r>
      <w:r>
        <w:rPr>
          <w:rFonts w:hint="eastAsia" w:ascii="宋体" w:hAnsi="宋体"/>
          <w:b/>
          <w:color w:val="000000"/>
          <w:sz w:val="32"/>
          <w:szCs w:val="32"/>
        </w:rPr>
        <w:t>月</w:t>
      </w:r>
    </w:p>
    <w:p w14:paraId="716FBCB1">
      <w:pPr>
        <w:pStyle w:val="7"/>
        <w:spacing w:line="360" w:lineRule="auto"/>
        <w:ind w:firstLine="723"/>
        <w:jc w:val="center"/>
        <w:rPr>
          <w:rFonts w:hint="eastAsia" w:asciiTheme="minorEastAsia" w:hAnsiTheme="minorEastAsia" w:eastAsiaTheme="minorEastAsia" w:cstheme="minorEastAsia"/>
          <w:b/>
          <w:color w:val="auto"/>
          <w:sz w:val="44"/>
          <w:highlight w:val="none"/>
        </w:rPr>
      </w:pPr>
    </w:p>
    <w:p w14:paraId="15588959">
      <w:pPr>
        <w:pStyle w:val="7"/>
        <w:spacing w:line="360" w:lineRule="auto"/>
        <w:ind w:firstLine="723"/>
        <w:jc w:val="center"/>
        <w:rPr>
          <w:rFonts w:hint="eastAsia" w:asciiTheme="minorEastAsia" w:hAnsiTheme="minorEastAsia" w:eastAsiaTheme="minorEastAsia" w:cstheme="minorEastAsia"/>
          <w:b/>
          <w:color w:val="auto"/>
          <w:sz w:val="44"/>
          <w:highlight w:val="none"/>
        </w:rPr>
      </w:pPr>
    </w:p>
    <w:p w14:paraId="0FC657B5">
      <w:pPr>
        <w:pStyle w:val="7"/>
        <w:spacing w:line="360" w:lineRule="auto"/>
        <w:ind w:firstLine="723"/>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目  录</w:t>
      </w:r>
    </w:p>
    <w:p w14:paraId="3D14BB98">
      <w:pPr>
        <w:pStyle w:val="2"/>
        <w:tabs>
          <w:tab w:val="right" w:leader="dot" w:pos="9540"/>
          <w:tab w:val="clear" w:pos="735"/>
          <w:tab w:val="clear" w:pos="9530"/>
        </w:tabs>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\h \z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_Toc9272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第一章  投标邀请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_Toc9272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440552C">
      <w:pPr>
        <w:pStyle w:val="2"/>
        <w:tabs>
          <w:tab w:val="right" w:leader="dot" w:pos="9540"/>
          <w:tab w:val="clear" w:pos="735"/>
          <w:tab w:val="clear" w:pos="9530"/>
        </w:tabs>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_Toc28602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_Toc28602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B2346CB">
      <w:pPr>
        <w:pStyle w:val="2"/>
        <w:tabs>
          <w:tab w:val="right" w:leader="dot" w:pos="9540"/>
          <w:tab w:val="clear" w:pos="735"/>
          <w:tab w:val="clear" w:pos="9530"/>
        </w:tabs>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_Toc16352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招标内容及要求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7</w:t>
      </w:r>
    </w:p>
    <w:p w14:paraId="7E3CE4FF">
      <w:pPr>
        <w:pStyle w:val="2"/>
        <w:tabs>
          <w:tab w:val="right" w:leader="dot" w:pos="9540"/>
          <w:tab w:val="clear" w:pos="735"/>
          <w:tab w:val="clear" w:pos="9530"/>
        </w:tabs>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_Toc23486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第四章  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4</w:t>
      </w:r>
    </w:p>
    <w:p w14:paraId="34AF19A0">
      <w:pPr>
        <w:pStyle w:val="2"/>
        <w:tabs>
          <w:tab w:val="right" w:leader="dot" w:pos="9540"/>
          <w:tab w:val="clear" w:pos="735"/>
          <w:tab w:val="clear" w:pos="9530"/>
        </w:tabs>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_Toc10672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第五章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37</w:t>
      </w:r>
    </w:p>
    <w:p w14:paraId="595A5F8E">
      <w:pPr>
        <w:spacing w:line="400" w:lineRule="exact"/>
        <w:ind w:firstLine="106" w:firstLineChars="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p w14:paraId="2D732177">
      <w:pPr>
        <w:pStyle w:val="31"/>
        <w:rPr>
          <w:rFonts w:hint="eastAsia" w:asciiTheme="minorEastAsia" w:hAnsiTheme="minorEastAsia" w:eastAsiaTheme="minorEastAsia" w:cstheme="minorEastAsia"/>
          <w:color w:val="auto"/>
          <w:highlight w:val="none"/>
        </w:rPr>
      </w:pPr>
    </w:p>
    <w:p w14:paraId="4213B024">
      <w:pPr>
        <w:pStyle w:val="31"/>
        <w:rPr>
          <w:rFonts w:hint="eastAsia" w:asciiTheme="minorEastAsia" w:hAnsiTheme="minorEastAsia" w:eastAsiaTheme="minorEastAsia" w:cstheme="minorEastAsia"/>
          <w:color w:val="auto"/>
          <w:highlight w:val="none"/>
        </w:rPr>
      </w:pPr>
    </w:p>
    <w:p w14:paraId="41573972">
      <w:pPr>
        <w:pStyle w:val="31"/>
        <w:ind w:left="0" w:leftChars="0" w:firstLine="0" w:firstLineChars="0"/>
        <w:rPr>
          <w:rFonts w:hint="eastAsia" w:asciiTheme="minorEastAsia" w:hAnsiTheme="minorEastAsia" w:eastAsiaTheme="minorEastAsia" w:cstheme="minorEastAsia"/>
          <w:color w:val="auto"/>
          <w:highlight w:val="none"/>
        </w:rPr>
      </w:pPr>
    </w:p>
    <w:p w14:paraId="51D3A11C">
      <w:pPr>
        <w:spacing w:line="400" w:lineRule="exact"/>
        <w:ind w:firstLine="106" w:firstLineChars="50"/>
        <w:rPr>
          <w:rFonts w:hint="eastAsia" w:asciiTheme="minorEastAsia" w:hAnsiTheme="minorEastAsia" w:eastAsiaTheme="minorEastAsia" w:cstheme="minorEastAsia"/>
          <w:color w:val="auto"/>
          <w:highlight w:val="none"/>
        </w:rPr>
      </w:pPr>
    </w:p>
    <w:p w14:paraId="5A7C37E5">
      <w:pPr>
        <w:keepNext w:val="0"/>
        <w:keepLines w:val="0"/>
        <w:pageBreakBefore w:val="0"/>
        <w:widowControl w:val="0"/>
        <w:kinsoku/>
        <w:wordWrap/>
        <w:overflowPunct/>
        <w:topLinePunct w:val="0"/>
        <w:autoSpaceDE/>
        <w:autoSpaceDN/>
        <w:bidi w:val="0"/>
        <w:adjustRightInd/>
        <w:snapToGrid/>
        <w:spacing w:line="420" w:lineRule="exact"/>
        <w:ind w:firstLine="596" w:firstLineChars="247"/>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本招标文件共</w:t>
      </w:r>
      <w:r>
        <w:rPr>
          <w:rFonts w:hint="eastAsia" w:asciiTheme="minorEastAsia" w:hAnsiTheme="minorEastAsia" w:eastAsiaTheme="minorEastAsia" w:cstheme="minorEastAsia"/>
          <w:b/>
          <w:color w:val="auto"/>
          <w:sz w:val="24"/>
          <w:szCs w:val="24"/>
          <w:highlight w:val="none"/>
          <w:u w:val="single"/>
          <w:lang w:val="en-US" w:eastAsia="zh-CN"/>
        </w:rPr>
        <w:t>66</w:t>
      </w:r>
      <w:r>
        <w:rPr>
          <w:rFonts w:hint="eastAsia" w:asciiTheme="minorEastAsia" w:hAnsiTheme="minorEastAsia" w:eastAsiaTheme="minorEastAsia" w:cstheme="minorEastAsia"/>
          <w:b/>
          <w:color w:val="auto"/>
          <w:sz w:val="24"/>
          <w:szCs w:val="24"/>
          <w:highlight w:val="none"/>
        </w:rPr>
        <w:t>页(含封面)，请投标人</w:t>
      </w:r>
      <w:r>
        <w:rPr>
          <w:rFonts w:hint="eastAsia" w:asciiTheme="minorEastAsia" w:hAnsiTheme="minorEastAsia" w:eastAsiaTheme="minorEastAsia" w:cstheme="minorEastAsia"/>
          <w:b/>
          <w:color w:val="auto"/>
          <w:sz w:val="24"/>
          <w:szCs w:val="24"/>
          <w:highlight w:val="none"/>
          <w:lang w:val="en-US" w:eastAsia="zh-CN"/>
        </w:rPr>
        <w:t>获</w:t>
      </w:r>
      <w:r>
        <w:rPr>
          <w:rFonts w:hint="eastAsia" w:asciiTheme="minorEastAsia" w:hAnsiTheme="minorEastAsia" w:eastAsiaTheme="minorEastAsia" w:cstheme="minorEastAsia"/>
          <w:b/>
          <w:color w:val="auto"/>
          <w:sz w:val="24"/>
          <w:szCs w:val="24"/>
          <w:highlight w:val="none"/>
        </w:rPr>
        <w:t>取招标文件时自行核对，如发现缺、损等情况，自</w:t>
      </w:r>
      <w:r>
        <w:rPr>
          <w:rFonts w:hint="eastAsia" w:asciiTheme="minorEastAsia" w:hAnsiTheme="minorEastAsia" w:eastAsiaTheme="minorEastAsia" w:cstheme="minorEastAsia"/>
          <w:b/>
          <w:color w:val="auto"/>
          <w:sz w:val="24"/>
          <w:szCs w:val="24"/>
          <w:highlight w:val="none"/>
          <w:lang w:val="en-US" w:eastAsia="zh-CN"/>
        </w:rPr>
        <w:t>获</w:t>
      </w:r>
      <w:r>
        <w:rPr>
          <w:rFonts w:hint="eastAsia" w:asciiTheme="minorEastAsia" w:hAnsiTheme="minorEastAsia" w:eastAsiaTheme="minorEastAsia" w:cstheme="minorEastAsia"/>
          <w:b/>
          <w:color w:val="auto"/>
          <w:sz w:val="24"/>
          <w:szCs w:val="24"/>
          <w:highlight w:val="none"/>
        </w:rPr>
        <w:t>取招标文件之日起</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日内向</w:t>
      </w:r>
      <w:r>
        <w:rPr>
          <w:rFonts w:hint="eastAsia" w:asciiTheme="minorEastAsia" w:hAnsiTheme="minorEastAsia" w:eastAsiaTheme="minorEastAsia" w:cstheme="minorEastAsia"/>
          <w:b/>
          <w:color w:val="auto"/>
          <w:sz w:val="24"/>
          <w:szCs w:val="24"/>
          <w:highlight w:val="none"/>
          <w:lang w:eastAsia="zh-CN"/>
        </w:rPr>
        <w:t>福建鼎御招标有限公司</w:t>
      </w:r>
      <w:r>
        <w:rPr>
          <w:rFonts w:hint="eastAsia" w:asciiTheme="minorEastAsia" w:hAnsiTheme="minorEastAsia" w:eastAsiaTheme="minorEastAsia" w:cstheme="minorEastAsia"/>
          <w:b/>
          <w:color w:val="auto"/>
          <w:sz w:val="24"/>
          <w:szCs w:val="24"/>
          <w:highlight w:val="none"/>
        </w:rPr>
        <w:t>提出，否则，由此造成的一切后果由投标人自负。</w:t>
      </w:r>
    </w:p>
    <w:p w14:paraId="25C14F5B">
      <w:pPr>
        <w:pStyle w:val="82"/>
        <w:spacing w:line="360" w:lineRule="auto"/>
        <w:ind w:left="181"/>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6C893D79">
      <w:pPr>
        <w:pStyle w:val="82"/>
        <w:keepNext w:val="0"/>
        <w:keepLines w:val="0"/>
        <w:pageBreakBefore w:val="0"/>
        <w:widowControl w:val="0"/>
        <w:kinsoku/>
        <w:wordWrap/>
        <w:overflowPunct/>
        <w:topLinePunct w:val="0"/>
        <w:autoSpaceDE w:val="0"/>
        <w:autoSpaceDN w:val="0"/>
        <w:bidi w:val="0"/>
        <w:adjustRightInd w:val="0"/>
        <w:snapToGrid/>
        <w:spacing w:line="460" w:lineRule="exact"/>
        <w:ind w:left="181"/>
        <w:jc w:val="center"/>
        <w:textAlignment w:val="auto"/>
        <w:outlineLvl w:val="0"/>
        <w:rPr>
          <w:rFonts w:hint="eastAsia" w:asciiTheme="minorEastAsia" w:hAnsiTheme="minorEastAsia" w:eastAsiaTheme="minorEastAsia" w:cstheme="minorEastAsia"/>
          <w:b/>
          <w:color w:val="auto"/>
          <w:sz w:val="32"/>
          <w:szCs w:val="32"/>
          <w:highlight w:val="none"/>
        </w:rPr>
      </w:pPr>
      <w:bookmarkStart w:id="0" w:name="_Toc9272"/>
      <w:r>
        <w:rPr>
          <w:rFonts w:hint="eastAsia" w:asciiTheme="minorEastAsia" w:hAnsiTheme="minorEastAsia" w:eastAsiaTheme="minorEastAsia" w:cstheme="minorEastAsia"/>
          <w:b/>
          <w:color w:val="auto"/>
          <w:sz w:val="32"/>
          <w:szCs w:val="32"/>
          <w:highlight w:val="none"/>
        </w:rPr>
        <w:t>第一章  投标邀请</w:t>
      </w:r>
      <w:bookmarkEnd w:id="0"/>
    </w:p>
    <w:p w14:paraId="37FA991A">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本公司受</w:t>
      </w:r>
      <w:r>
        <w:rPr>
          <w:rFonts w:hint="eastAsia" w:asciiTheme="minorEastAsia" w:hAnsiTheme="minorEastAsia" w:eastAsiaTheme="minorEastAsia" w:cstheme="minorEastAsia"/>
          <w:b/>
          <w:bCs/>
          <w:color w:val="auto"/>
          <w:sz w:val="24"/>
          <w:szCs w:val="24"/>
          <w:highlight w:val="none"/>
          <w:u w:val="single"/>
          <w:lang w:val="en-US" w:eastAsia="zh-CN"/>
        </w:rPr>
        <w:t>南平武夷文旅研究院有限公司</w:t>
      </w:r>
      <w:r>
        <w:rPr>
          <w:rFonts w:hint="eastAsia" w:asciiTheme="minorEastAsia" w:hAnsiTheme="minorEastAsia" w:eastAsiaTheme="minorEastAsia" w:cstheme="minorEastAsia"/>
          <w:color w:val="auto"/>
          <w:sz w:val="24"/>
          <w:szCs w:val="24"/>
          <w:highlight w:val="none"/>
        </w:rPr>
        <w:t>委托，对</w:t>
      </w:r>
      <w:r>
        <w:rPr>
          <w:rFonts w:hint="eastAsia" w:asciiTheme="minorEastAsia" w:hAnsiTheme="minorEastAsia" w:eastAsiaTheme="minorEastAsia" w:cstheme="minorEastAsia"/>
          <w:b/>
          <w:bCs/>
          <w:color w:val="auto"/>
          <w:sz w:val="24"/>
          <w:szCs w:val="24"/>
          <w:highlight w:val="none"/>
          <w:u w:val="single"/>
          <w:lang w:val="en-US" w:eastAsia="zh-CN"/>
        </w:rPr>
        <w:t>南平市铁路旅游主题列车改造项目</w:t>
      </w:r>
      <w:r>
        <w:rPr>
          <w:rFonts w:hint="eastAsia" w:asciiTheme="minorEastAsia" w:hAnsiTheme="minorEastAsia" w:eastAsiaTheme="minorEastAsia" w:cstheme="minorEastAsia"/>
          <w:color w:val="auto"/>
          <w:sz w:val="24"/>
          <w:szCs w:val="24"/>
          <w:highlight w:val="none"/>
        </w:rPr>
        <w:t>的下述货物及相应服务进行国内公开招标，现欢迎认可本招标文件所有条款(包括第四章采购合同的合同条款)的国内合格投标人前来提交密封的投标文件。</w:t>
      </w:r>
    </w:p>
    <w:p w14:paraId="31694CCA">
      <w:pPr>
        <w:keepNext w:val="0"/>
        <w:keepLines w:val="0"/>
        <w:pageBreakBefore w:val="0"/>
        <w:numPr>
          <w:ilvl w:val="0"/>
          <w:numId w:val="0"/>
        </w:numPr>
        <w:kinsoku/>
        <w:wordWrap/>
        <w:overflowPunct/>
        <w:topLinePunct w:val="0"/>
        <w:autoSpaceDE/>
        <w:autoSpaceDN/>
        <w:bidi w:val="0"/>
        <w:adjustRightInd/>
        <w:snapToGrid/>
        <w:spacing w:line="420" w:lineRule="exact"/>
        <w:ind w:firstLine="484" w:firstLineChars="200"/>
        <w:textAlignment w:val="auto"/>
        <w:rPr>
          <w:rFonts w:hint="default" w:asciiTheme="minorEastAsia" w:hAnsiTheme="minorEastAsia" w:eastAsiaTheme="minorEastAsia" w:cstheme="minorEastAsia"/>
          <w:b/>
          <w:color w:val="auto"/>
          <w:spacing w:val="-14"/>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b/>
          <w:color w:val="auto"/>
          <w:spacing w:val="-14"/>
          <w:sz w:val="24"/>
          <w:szCs w:val="24"/>
          <w:highlight w:val="none"/>
          <w:u w:val="none"/>
          <w:lang w:eastAsia="zh-CN"/>
        </w:rPr>
        <w:t>DYZB[GK]202601-02</w:t>
      </w:r>
      <w:r>
        <w:rPr>
          <w:rFonts w:hint="eastAsia" w:asciiTheme="minorEastAsia" w:hAnsiTheme="minorEastAsia" w:eastAsiaTheme="minorEastAsia" w:cstheme="minorEastAsia"/>
          <w:b/>
          <w:color w:val="auto"/>
          <w:spacing w:val="-14"/>
          <w:sz w:val="24"/>
          <w:szCs w:val="24"/>
          <w:highlight w:val="none"/>
          <w:u w:val="none"/>
          <w:lang w:val="en-US" w:eastAsia="zh-CN"/>
        </w:rPr>
        <w:t xml:space="preserve"> 。</w:t>
      </w:r>
    </w:p>
    <w:p w14:paraId="447BA8EB">
      <w:pPr>
        <w:keepNext w:val="0"/>
        <w:keepLines w:val="0"/>
        <w:pageBreakBefore w:val="0"/>
        <w:numPr>
          <w:ilvl w:val="0"/>
          <w:numId w:val="0"/>
        </w:numPr>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2、招标货物名称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详见《招标项目一览表》附后</w:t>
      </w:r>
      <w:r>
        <w:rPr>
          <w:rFonts w:hint="eastAsia" w:asciiTheme="minorEastAsia" w:hAnsiTheme="minorEastAsia" w:eastAsiaTheme="minorEastAsia" w:cstheme="minorEastAsia"/>
          <w:b/>
          <w:bCs/>
          <w:color w:val="auto"/>
          <w:sz w:val="24"/>
          <w:szCs w:val="24"/>
          <w:highlight w:val="none"/>
          <w:lang w:eastAsia="zh-CN"/>
        </w:rPr>
        <w:t>。</w:t>
      </w:r>
    </w:p>
    <w:p w14:paraId="20F68D77">
      <w:pPr>
        <w:keepNext w:val="0"/>
        <w:keepLines w:val="0"/>
        <w:pageBreakBefore w:val="0"/>
        <w:widowControl/>
        <w:kinsoku/>
        <w:wordWrap/>
        <w:overflowPunct/>
        <w:topLinePunct w:val="0"/>
        <w:autoSpaceDE/>
        <w:autoSpaceDN/>
        <w:bidi w:val="0"/>
        <w:adjustRightInd/>
        <w:snapToGrid/>
        <w:spacing w:line="420" w:lineRule="exact"/>
        <w:ind w:firstLine="484" w:firstLineChars="20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宋体" w:hAnsi="宋体" w:eastAsia="宋体" w:cs="宋体"/>
          <w:color w:val="auto"/>
          <w:sz w:val="24"/>
          <w:szCs w:val="24"/>
        </w:rPr>
        <w:t>获取</w:t>
      </w:r>
      <w:r>
        <w:rPr>
          <w:rFonts w:hint="eastAsia" w:ascii="宋体" w:hAnsi="宋体" w:cs="宋体"/>
          <w:color w:val="auto"/>
          <w:sz w:val="24"/>
          <w:szCs w:val="24"/>
          <w:lang w:val="en-US" w:eastAsia="zh-CN"/>
        </w:rPr>
        <w:t>时间及</w:t>
      </w:r>
      <w:r>
        <w:rPr>
          <w:rFonts w:hint="eastAsia" w:ascii="宋体" w:hAnsi="宋体" w:eastAsia="宋体" w:cs="宋体"/>
          <w:color w:val="auto"/>
          <w:sz w:val="24"/>
          <w:szCs w:val="24"/>
        </w:rPr>
        <w:t>方式：</w:t>
      </w:r>
      <w:r>
        <w:rPr>
          <w:rFonts w:hint="eastAsia" w:ascii="宋体" w:hAnsi="宋体" w:eastAsia="宋体" w:cs="宋体"/>
          <w:i w:val="0"/>
          <w:caps w:val="0"/>
          <w:color w:val="000000"/>
          <w:spacing w:val="0"/>
          <w:sz w:val="24"/>
          <w:szCs w:val="24"/>
          <w:shd w:val="clear" w:color="auto" w:fill="FFFFFF"/>
          <w:vertAlign w:val="baseline"/>
        </w:rPr>
        <w:t>凡有意参加投标者，</w:t>
      </w:r>
      <w:r>
        <w:rPr>
          <w:rFonts w:hint="eastAsia" w:ascii="宋体" w:hAnsi="宋体" w:cs="宋体"/>
          <w:color w:val="auto"/>
          <w:sz w:val="24"/>
          <w:u w:val="none"/>
        </w:rPr>
        <w:t>202</w:t>
      </w:r>
      <w:r>
        <w:rPr>
          <w:rFonts w:hint="eastAsia" w:ascii="宋体" w:hAnsi="宋体" w:cs="宋体"/>
          <w:color w:val="auto"/>
          <w:sz w:val="24"/>
          <w:u w:val="none"/>
          <w:lang w:val="en-US" w:eastAsia="zh-CN"/>
        </w:rPr>
        <w:t>6</w:t>
      </w:r>
      <w:r>
        <w:rPr>
          <w:rFonts w:hint="eastAsia" w:ascii="宋体" w:hAnsi="宋体" w:cs="宋体"/>
          <w:color w:val="auto"/>
          <w:sz w:val="24"/>
          <w:u w:val="none"/>
        </w:rPr>
        <w:t>年</w:t>
      </w:r>
      <w:r>
        <w:rPr>
          <w:rFonts w:hint="eastAsia" w:ascii="宋体" w:hAnsi="宋体" w:cs="宋体"/>
          <w:color w:val="auto"/>
          <w:sz w:val="24"/>
          <w:u w:val="none"/>
          <w:lang w:val="en-US" w:eastAsia="zh-CN"/>
        </w:rPr>
        <w:t>01</w:t>
      </w:r>
      <w:r>
        <w:rPr>
          <w:rFonts w:hint="eastAsia" w:ascii="宋体" w:hAnsi="宋体" w:cs="宋体"/>
          <w:color w:val="auto"/>
          <w:sz w:val="24"/>
          <w:u w:val="none"/>
        </w:rPr>
        <w:t>月</w:t>
      </w:r>
      <w:r>
        <w:rPr>
          <w:rFonts w:hint="eastAsia" w:ascii="宋体" w:hAnsi="宋体" w:cs="宋体"/>
          <w:color w:val="auto"/>
          <w:sz w:val="24"/>
          <w:u w:val="none"/>
          <w:lang w:val="en-US" w:eastAsia="zh-CN"/>
        </w:rPr>
        <w:t>19</w:t>
      </w:r>
      <w:r>
        <w:rPr>
          <w:rFonts w:hint="eastAsia" w:ascii="宋体" w:hAnsi="宋体" w:cs="宋体"/>
          <w:color w:val="auto"/>
          <w:sz w:val="24"/>
          <w:u w:val="none"/>
        </w:rPr>
        <w:t>日至202</w:t>
      </w:r>
      <w:r>
        <w:rPr>
          <w:rFonts w:hint="eastAsia" w:ascii="宋体" w:hAnsi="宋体" w:cs="宋体"/>
          <w:color w:val="auto"/>
          <w:sz w:val="24"/>
          <w:u w:val="none"/>
          <w:lang w:val="en-US" w:eastAsia="zh-CN"/>
        </w:rPr>
        <w:t>6</w:t>
      </w:r>
      <w:r>
        <w:rPr>
          <w:rFonts w:hint="eastAsia" w:ascii="宋体" w:hAnsi="宋体" w:cs="宋体"/>
          <w:color w:val="auto"/>
          <w:sz w:val="24"/>
          <w:u w:val="none"/>
        </w:rPr>
        <w:t>年</w:t>
      </w:r>
      <w:r>
        <w:rPr>
          <w:rFonts w:hint="eastAsia" w:ascii="宋体" w:hAnsi="宋体" w:cs="宋体"/>
          <w:color w:val="auto"/>
          <w:sz w:val="24"/>
          <w:u w:val="none"/>
          <w:lang w:val="en-US" w:eastAsia="zh-CN"/>
        </w:rPr>
        <w:t>01</w:t>
      </w:r>
      <w:r>
        <w:rPr>
          <w:rFonts w:hint="eastAsia" w:ascii="宋体" w:hAnsi="宋体" w:cs="宋体"/>
          <w:color w:val="auto"/>
          <w:sz w:val="24"/>
          <w:u w:val="none"/>
        </w:rPr>
        <w:t>月</w:t>
      </w:r>
      <w:r>
        <w:rPr>
          <w:rFonts w:hint="eastAsia" w:ascii="宋体" w:hAnsi="宋体" w:cs="宋体"/>
          <w:color w:val="auto"/>
          <w:sz w:val="24"/>
          <w:u w:val="none"/>
          <w:lang w:val="en-US" w:eastAsia="zh-CN"/>
        </w:rPr>
        <w:t>26</w:t>
      </w:r>
      <w:r>
        <w:rPr>
          <w:rFonts w:hint="eastAsia" w:ascii="宋体" w:hAnsi="宋体" w:cs="宋体"/>
          <w:color w:val="auto"/>
          <w:sz w:val="24"/>
          <w:u w:val="none"/>
        </w:rPr>
        <w:t>日</w:t>
      </w:r>
      <w:r>
        <w:rPr>
          <w:rFonts w:hint="eastAsia" w:ascii="宋体" w:hAnsi="宋体" w:cs="宋体"/>
          <w:color w:val="auto"/>
          <w:sz w:val="24"/>
        </w:rPr>
        <w:t>，每天上午8:30至12:00，下午14:30至17:30（北京时间，法定节假日除外）</w:t>
      </w:r>
      <w:r>
        <w:rPr>
          <w:rFonts w:hint="eastAsia" w:ascii="宋体" w:hAnsi="宋体" w:cs="宋体"/>
          <w:color w:val="auto"/>
          <w:sz w:val="24"/>
          <w:lang w:eastAsia="zh-CN"/>
        </w:rPr>
        <w:t>。</w:t>
      </w:r>
      <w:r>
        <w:rPr>
          <w:rFonts w:hint="eastAsia" w:ascii="宋体" w:hAnsi="宋体" w:eastAsia="宋体" w:cs="宋体"/>
          <w:i w:val="0"/>
          <w:iCs w:val="0"/>
          <w:caps w:val="0"/>
          <w:color w:val="auto"/>
          <w:spacing w:val="0"/>
          <w:sz w:val="24"/>
          <w:szCs w:val="24"/>
          <w:shd w:val="clear" w:fill="FFFFFF"/>
          <w:vertAlign w:val="baseline"/>
        </w:rPr>
        <w:t>提供</w:t>
      </w:r>
      <w:r>
        <w:rPr>
          <w:rFonts w:hint="eastAsia" w:ascii="宋体" w:hAnsi="宋体" w:eastAsia="宋体" w:cs="宋体"/>
          <w:i w:val="0"/>
          <w:iCs w:val="0"/>
          <w:caps w:val="0"/>
          <w:color w:val="auto"/>
          <w:spacing w:val="0"/>
          <w:sz w:val="24"/>
          <w:szCs w:val="24"/>
          <w:shd w:val="clear" w:fill="FFFFFF"/>
          <w:vertAlign w:val="baseline"/>
          <w:lang w:val="en-US" w:eastAsia="zh-CN"/>
        </w:rPr>
        <w:t>投标人</w:t>
      </w:r>
      <w:r>
        <w:rPr>
          <w:rFonts w:hint="eastAsia" w:ascii="宋体" w:hAnsi="宋体" w:eastAsia="宋体" w:cs="宋体"/>
          <w:i w:val="0"/>
          <w:iCs w:val="0"/>
          <w:caps w:val="0"/>
          <w:color w:val="auto"/>
          <w:spacing w:val="0"/>
          <w:sz w:val="24"/>
          <w:szCs w:val="24"/>
          <w:shd w:val="clear" w:fill="FFFFFF"/>
          <w:vertAlign w:val="baseline"/>
        </w:rPr>
        <w:t>营业执照复印件（加盖公章）；</w:t>
      </w:r>
      <w:r>
        <w:rPr>
          <w:rFonts w:hint="eastAsia" w:ascii="宋体" w:hAnsi="宋体" w:eastAsia="宋体" w:cs="宋体"/>
          <w:i w:val="0"/>
          <w:iCs w:val="0"/>
          <w:caps w:val="0"/>
          <w:color w:val="auto"/>
          <w:spacing w:val="0"/>
          <w:sz w:val="24"/>
          <w:szCs w:val="24"/>
          <w:shd w:val="clear" w:fill="FFFFFF"/>
          <w:vertAlign w:val="baseline"/>
          <w:lang w:val="en-US" w:eastAsia="zh-CN"/>
        </w:rPr>
        <w:t>投标人</w:t>
      </w:r>
      <w:r>
        <w:rPr>
          <w:rFonts w:hint="eastAsia" w:ascii="宋体" w:hAnsi="宋体" w:cs="宋体"/>
          <w:b w:val="0"/>
          <w:bCs w:val="0"/>
          <w:color w:val="auto"/>
          <w:sz w:val="24"/>
          <w:u w:val="none"/>
          <w:shd w:val="clear" w:color="auto" w:fill="FFFFFF"/>
        </w:rPr>
        <w:t>须</w:t>
      </w:r>
      <w:r>
        <w:rPr>
          <w:rFonts w:hint="eastAsia" w:ascii="宋体" w:hAnsi="宋体" w:cs="宋体"/>
          <w:b w:val="0"/>
          <w:bCs w:val="0"/>
          <w:color w:val="auto"/>
          <w:sz w:val="24"/>
          <w:u w:val="none"/>
          <w:shd w:val="clear" w:color="auto" w:fill="FFFFFF"/>
          <w:lang w:eastAsia="zh-CN"/>
        </w:rPr>
        <w:t>提供</w:t>
      </w:r>
      <w:r>
        <w:rPr>
          <w:rFonts w:hint="eastAsia" w:ascii="宋体" w:hAnsi="宋体" w:cs="宋体"/>
          <w:b w:val="0"/>
          <w:bCs w:val="0"/>
          <w:color w:val="auto"/>
          <w:sz w:val="24"/>
          <w:u w:val="none"/>
          <w:shd w:val="clear" w:color="auto" w:fill="FFFFFF"/>
          <w:lang w:val="en-US" w:eastAsia="zh-CN"/>
        </w:rPr>
        <w:t>word格式文档，</w:t>
      </w:r>
      <w:r>
        <w:rPr>
          <w:rFonts w:hint="eastAsia" w:ascii="宋体" w:hAnsi="宋体" w:cs="宋体"/>
          <w:b w:val="0"/>
          <w:bCs w:val="0"/>
          <w:color w:val="auto"/>
          <w:sz w:val="24"/>
          <w:u w:val="none"/>
          <w:shd w:val="clear" w:color="auto" w:fill="FFFFFF"/>
        </w:rPr>
        <w:t>将所报的项目名称、项目编号、单位名称、单位</w:t>
      </w:r>
      <w:r>
        <w:rPr>
          <w:rFonts w:hint="eastAsia" w:ascii="宋体" w:hAnsi="宋体" w:cs="宋体"/>
          <w:b w:val="0"/>
          <w:bCs w:val="0"/>
          <w:color w:val="auto"/>
          <w:sz w:val="24"/>
          <w:u w:val="none"/>
          <w:shd w:val="clear" w:color="auto" w:fill="FFFFFF"/>
          <w:lang w:val="en-US" w:eastAsia="zh-CN"/>
        </w:rPr>
        <w:t>地址</w:t>
      </w:r>
      <w:r>
        <w:rPr>
          <w:rFonts w:hint="eastAsia" w:ascii="宋体" w:hAnsi="宋体" w:cs="宋体"/>
          <w:b w:val="0"/>
          <w:bCs w:val="0"/>
          <w:color w:val="auto"/>
          <w:sz w:val="24"/>
          <w:u w:val="none"/>
          <w:shd w:val="clear" w:color="auto" w:fill="FFFFFF"/>
        </w:rPr>
        <w:t>、联系人、联系电话</w:t>
      </w:r>
      <w:r>
        <w:rPr>
          <w:rFonts w:hint="eastAsia" w:ascii="宋体" w:hAnsi="宋体" w:cs="宋体"/>
          <w:b w:val="0"/>
          <w:bCs w:val="0"/>
          <w:color w:val="auto"/>
          <w:sz w:val="24"/>
          <w:u w:val="none"/>
          <w:shd w:val="clear" w:color="auto" w:fill="FFFFFF"/>
          <w:lang w:eastAsia="zh-CN"/>
        </w:rPr>
        <w:t>、邮箱</w:t>
      </w:r>
      <w:r>
        <w:rPr>
          <w:rFonts w:hint="eastAsia" w:ascii="宋体" w:hAnsi="宋体" w:cs="宋体"/>
          <w:b w:val="0"/>
          <w:bCs w:val="0"/>
          <w:color w:val="auto"/>
          <w:sz w:val="24"/>
          <w:u w:val="none"/>
          <w:shd w:val="clear" w:color="auto" w:fill="FFFFFF"/>
          <w:lang w:val="en-US" w:eastAsia="zh-CN"/>
        </w:rPr>
        <w:t>及获取招标文件公对公转账付款凭证（注：</w:t>
      </w:r>
      <w:r>
        <w:rPr>
          <w:rFonts w:hint="eastAsia" w:ascii="宋体" w:hAnsi="宋体" w:cs="宋体"/>
          <w:b w:val="0"/>
          <w:bCs w:val="0"/>
          <w:color w:val="auto"/>
          <w:sz w:val="24"/>
          <w:u w:val="none"/>
          <w:shd w:val="clear" w:color="auto" w:fill="FFFFFF"/>
        </w:rPr>
        <w:t>须注明所报名的项目编号和</w:t>
      </w:r>
      <w:r>
        <w:rPr>
          <w:rFonts w:hint="eastAsia" w:ascii="宋体" w:hAnsi="宋体" w:eastAsia="宋体" w:cs="宋体"/>
          <w:sz w:val="24"/>
          <w:szCs w:val="24"/>
        </w:rPr>
        <w:t>采购</w:t>
      </w:r>
      <w:r>
        <w:rPr>
          <w:rFonts w:hint="eastAsia" w:ascii="宋体" w:hAnsi="宋体" w:cs="宋体"/>
          <w:b w:val="0"/>
          <w:bCs w:val="0"/>
          <w:color w:val="auto"/>
          <w:sz w:val="24"/>
          <w:u w:val="none"/>
          <w:shd w:val="clear" w:color="auto" w:fill="FFFFFF"/>
        </w:rPr>
        <w:t>包号</w:t>
      </w:r>
      <w:r>
        <w:rPr>
          <w:rFonts w:hint="eastAsia" w:ascii="宋体" w:hAnsi="宋体" w:cs="宋体"/>
          <w:b w:val="0"/>
          <w:bCs w:val="0"/>
          <w:color w:val="auto"/>
          <w:sz w:val="24"/>
          <w:u w:val="none"/>
          <w:shd w:val="clear" w:color="auto" w:fill="FFFFFF"/>
          <w:lang w:val="en-US" w:eastAsia="zh-CN"/>
        </w:rPr>
        <w:t>）</w:t>
      </w:r>
      <w:r>
        <w:rPr>
          <w:rFonts w:hint="eastAsia" w:ascii="宋体" w:hAnsi="宋体" w:cs="宋体"/>
          <w:b w:val="0"/>
          <w:bCs w:val="0"/>
          <w:color w:val="auto"/>
          <w:sz w:val="24"/>
          <w:u w:val="none"/>
          <w:shd w:val="clear" w:color="auto" w:fill="FFFFFF"/>
        </w:rPr>
        <w:t>等信息以电子邮件形式发送给</w:t>
      </w:r>
      <w:r>
        <w:rPr>
          <w:rFonts w:hint="eastAsia" w:ascii="宋体" w:hAnsi="宋体" w:cs="宋体"/>
          <w:b w:val="0"/>
          <w:bCs w:val="0"/>
          <w:color w:val="auto"/>
          <w:sz w:val="24"/>
          <w:u w:val="none"/>
          <w:shd w:val="clear" w:color="auto" w:fill="FFFFFF"/>
          <w:lang w:val="en-US" w:eastAsia="zh-CN"/>
        </w:rPr>
        <w:t>我</w:t>
      </w:r>
      <w:r>
        <w:rPr>
          <w:rFonts w:hint="eastAsia" w:ascii="宋体" w:hAnsi="宋体" w:cs="宋体"/>
          <w:b w:val="0"/>
          <w:bCs w:val="0"/>
          <w:color w:val="auto"/>
          <w:sz w:val="24"/>
          <w:u w:val="none"/>
          <w:shd w:val="clear" w:color="auto" w:fill="FFFFFF"/>
        </w:rPr>
        <w:t>司电子信箱（2539135645@qq.com），以便确认相应项目的报名登记并为供应商办理后续</w:t>
      </w:r>
      <w:r>
        <w:rPr>
          <w:rFonts w:hint="eastAsia" w:ascii="宋体" w:hAnsi="宋体" w:cs="宋体"/>
          <w:b w:val="0"/>
          <w:bCs w:val="0"/>
          <w:color w:val="auto"/>
          <w:sz w:val="24"/>
          <w:u w:val="none"/>
          <w:shd w:val="clear" w:color="auto" w:fill="FFFFFF"/>
          <w:lang w:val="en-US" w:eastAsia="zh-CN"/>
        </w:rPr>
        <w:t>采购</w:t>
      </w:r>
      <w:r>
        <w:rPr>
          <w:rFonts w:hint="eastAsia" w:ascii="宋体" w:hAnsi="宋体" w:cs="宋体"/>
          <w:b w:val="0"/>
          <w:bCs w:val="0"/>
          <w:color w:val="auto"/>
          <w:sz w:val="24"/>
          <w:u w:val="none"/>
          <w:shd w:val="clear" w:color="auto" w:fill="FFFFFF"/>
        </w:rPr>
        <w:t>文件发送事宜。</w:t>
      </w:r>
      <w:r>
        <w:rPr>
          <w:rFonts w:hint="eastAsia" w:ascii="宋体" w:hAnsi="宋体" w:eastAsia="宋体" w:cs="宋体"/>
          <w:b/>
          <w:bCs/>
          <w:color w:val="auto"/>
          <w:sz w:val="24"/>
          <w:szCs w:val="24"/>
        </w:rPr>
        <w:t>潜</w:t>
      </w:r>
      <w:r>
        <w:rPr>
          <w:rFonts w:hint="eastAsia" w:ascii="宋体" w:hAnsi="宋体" w:cs="宋体"/>
          <w:b/>
          <w:bCs/>
          <w:color w:val="auto"/>
          <w:sz w:val="24"/>
          <w:shd w:val="clear" w:color="auto" w:fill="FFFFFF"/>
        </w:rPr>
        <w:t>在</w:t>
      </w:r>
      <w:r>
        <w:rPr>
          <w:rFonts w:hint="eastAsia" w:ascii="宋体" w:hAnsi="宋体" w:cs="宋体"/>
          <w:b/>
          <w:bCs/>
          <w:color w:val="auto"/>
          <w:sz w:val="24"/>
          <w:shd w:val="clear" w:color="auto" w:fill="FFFFFF"/>
          <w:lang w:val="en-US" w:eastAsia="zh-CN"/>
        </w:rPr>
        <w:t>投标人</w:t>
      </w:r>
      <w:r>
        <w:rPr>
          <w:rFonts w:hint="eastAsia" w:ascii="宋体" w:hAnsi="宋体" w:cs="宋体"/>
          <w:b/>
          <w:bCs/>
          <w:color w:val="auto"/>
          <w:sz w:val="24"/>
          <w:shd w:val="clear" w:color="auto" w:fill="FFFFFF"/>
        </w:rPr>
        <w:t>须办理报名手续，且购买</w:t>
      </w:r>
      <w:r>
        <w:rPr>
          <w:rFonts w:hint="eastAsia" w:ascii="宋体" w:hAnsi="宋体" w:cs="宋体"/>
          <w:b/>
          <w:bCs/>
          <w:color w:val="auto"/>
          <w:sz w:val="24"/>
          <w:shd w:val="clear" w:color="auto" w:fill="FFFFFF"/>
          <w:lang w:val="en-US" w:eastAsia="zh-CN"/>
        </w:rPr>
        <w:t>招标</w:t>
      </w:r>
      <w:r>
        <w:rPr>
          <w:rFonts w:hint="eastAsia" w:ascii="宋体" w:hAnsi="宋体" w:cs="宋体"/>
          <w:b/>
          <w:bCs/>
          <w:color w:val="auto"/>
          <w:sz w:val="24"/>
          <w:shd w:val="clear" w:color="auto" w:fill="FFFFFF"/>
        </w:rPr>
        <w:t>文件时的单位名称应与投标时的单位名称一致，本招标公司不接受未办理报名手续的潜在</w:t>
      </w:r>
      <w:r>
        <w:rPr>
          <w:rFonts w:hint="eastAsia" w:ascii="宋体" w:hAnsi="宋体" w:cs="宋体"/>
          <w:b/>
          <w:bCs/>
          <w:color w:val="auto"/>
          <w:sz w:val="24"/>
          <w:shd w:val="clear" w:color="auto" w:fill="FFFFFF"/>
          <w:lang w:val="en-US" w:eastAsia="zh-CN"/>
        </w:rPr>
        <w:t>投标人</w:t>
      </w:r>
      <w:r>
        <w:rPr>
          <w:rFonts w:hint="eastAsia" w:ascii="宋体" w:hAnsi="宋体" w:cs="宋体"/>
          <w:b/>
          <w:bCs/>
          <w:color w:val="auto"/>
          <w:sz w:val="24"/>
          <w:shd w:val="clear" w:color="auto" w:fill="FFFFFF"/>
        </w:rPr>
        <w:t>参与投标与质疑。</w:t>
      </w:r>
    </w:p>
    <w:p w14:paraId="5FFCABA7">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default" w:eastAsia="宋体"/>
          <w:lang w:val="en-US" w:eastAsia="zh-CN"/>
        </w:rPr>
      </w:pPr>
      <w:r>
        <w:rPr>
          <w:rFonts w:hint="eastAsia" w:ascii="宋体" w:hAnsi="宋体" w:eastAsia="宋体" w:cs="宋体"/>
          <w:b w:val="0"/>
          <w:bCs w:val="0"/>
          <w:sz w:val="24"/>
          <w:szCs w:val="24"/>
          <w:highlight w:val="none"/>
        </w:rPr>
        <w:t>4</w:t>
      </w:r>
      <w:r>
        <w:rPr>
          <w:rFonts w:hint="eastAsia" w:ascii="宋体" w:hAnsi="宋体" w:eastAsia="宋体" w:cs="宋体"/>
          <w:sz w:val="24"/>
          <w:szCs w:val="24"/>
          <w:highlight w:val="none"/>
        </w:rPr>
        <w:t>、招标文件售价</w:t>
      </w:r>
      <w:r>
        <w:rPr>
          <w:rFonts w:hint="eastAsia" w:ascii="宋体" w:hAnsi="宋体" w:eastAsia="宋体" w:cs="宋体"/>
          <w:sz w:val="24"/>
          <w:szCs w:val="24"/>
          <w:highlight w:val="none"/>
          <w:lang w:eastAsia="zh-CN"/>
        </w:rPr>
        <w:t>:</w:t>
      </w:r>
      <w:r>
        <w:rPr>
          <w:rFonts w:hint="eastAsia" w:ascii="宋体" w:hAnsi="宋体" w:eastAsia="宋体" w:cs="宋体"/>
          <w:i w:val="0"/>
          <w:caps w:val="0"/>
          <w:color w:val="000000"/>
          <w:spacing w:val="0"/>
          <w:sz w:val="24"/>
          <w:szCs w:val="24"/>
          <w:shd w:val="clear" w:color="auto" w:fill="FFFFFF"/>
          <w:vertAlign w:val="baseline"/>
        </w:rPr>
        <w:t>300元</w:t>
      </w:r>
      <w:r>
        <w:rPr>
          <w:rFonts w:hint="eastAsia" w:ascii="宋体" w:hAnsi="宋体" w:cs="宋体"/>
          <w:i w:val="0"/>
          <w:caps w:val="0"/>
          <w:color w:val="000000"/>
          <w:spacing w:val="0"/>
          <w:sz w:val="24"/>
          <w:szCs w:val="24"/>
          <w:shd w:val="clear" w:color="auto" w:fill="FFFFFF"/>
          <w:vertAlign w:val="baseline"/>
          <w:lang w:eastAsia="zh-CN"/>
        </w:rPr>
        <w:t>，售后不退</w:t>
      </w:r>
      <w:r>
        <w:rPr>
          <w:rFonts w:hint="eastAsia" w:ascii="宋体" w:hAnsi="宋体" w:eastAsia="宋体" w:cs="宋体"/>
          <w:i w:val="0"/>
          <w:caps w:val="0"/>
          <w:color w:val="000000"/>
          <w:spacing w:val="0"/>
          <w:sz w:val="24"/>
          <w:szCs w:val="24"/>
          <w:shd w:val="clear" w:color="auto" w:fill="FFFFFF"/>
          <w:vertAlign w:val="baseline"/>
        </w:rPr>
        <w:t>。</w:t>
      </w:r>
      <w:r>
        <w:rPr>
          <w:rFonts w:hint="eastAsia" w:ascii="宋体" w:hAnsi="宋体" w:eastAsia="宋体" w:cs="宋体"/>
          <w:b/>
          <w:bCs/>
          <w:i w:val="0"/>
          <w:caps w:val="0"/>
          <w:color w:val="000000"/>
          <w:spacing w:val="0"/>
          <w:sz w:val="24"/>
          <w:szCs w:val="24"/>
          <w:shd w:val="clear" w:color="auto" w:fill="FFFFFF"/>
          <w:vertAlign w:val="baseline"/>
        </w:rPr>
        <w:t>（付款时请备注公司名称）</w:t>
      </w:r>
    </w:p>
    <w:p w14:paraId="37599816">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、投标截止时间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投标文件应于</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点</w:t>
      </w:r>
      <w:r>
        <w:rPr>
          <w:rFonts w:hint="eastAsia" w:ascii="宋体" w:hAnsi="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cs="宋体"/>
          <w:color w:val="auto"/>
          <w:sz w:val="24"/>
          <w:szCs w:val="24"/>
        </w:rPr>
        <w:t>(北京时间)</w:t>
      </w:r>
      <w:r>
        <w:rPr>
          <w:rFonts w:hint="eastAsia" w:asciiTheme="minorEastAsia" w:hAnsiTheme="minorEastAsia" w:eastAsiaTheme="minorEastAsia" w:cstheme="minorEastAsia"/>
          <w:color w:val="auto"/>
          <w:sz w:val="24"/>
          <w:szCs w:val="24"/>
          <w:highlight w:val="none"/>
        </w:rPr>
        <w:t>之前提交到</w:t>
      </w:r>
      <w:r>
        <w:rPr>
          <w:rFonts w:hint="eastAsia" w:ascii="宋体" w:hAnsi="宋体" w:eastAsia="宋体" w:cs="宋体"/>
          <w:color w:val="auto"/>
          <w:sz w:val="24"/>
          <w:szCs w:val="24"/>
          <w:lang w:eastAsia="zh-CN"/>
        </w:rPr>
        <w:t>福建省南平市建阳区潭阳大道156号体育中心体育场一层通道2(建阳区阳光招采中心)</w:t>
      </w:r>
      <w:r>
        <w:rPr>
          <w:rFonts w:hint="eastAsia" w:asciiTheme="minorEastAsia" w:hAnsiTheme="minorEastAsia" w:eastAsiaTheme="minorEastAsia" w:cstheme="minorEastAsia"/>
          <w:color w:val="auto"/>
          <w:sz w:val="24"/>
          <w:szCs w:val="24"/>
          <w:highlight w:val="none"/>
        </w:rPr>
        <w:t>，逾期送达的或不符合规定的投标文件将被拒绝。</w:t>
      </w:r>
    </w:p>
    <w:p w14:paraId="15174408">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点</w:t>
      </w:r>
      <w:r>
        <w:rPr>
          <w:rFonts w:hint="eastAsia" w:ascii="宋体" w:hAnsi="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cs="宋体"/>
          <w:color w:val="auto"/>
          <w:sz w:val="24"/>
          <w:szCs w:val="24"/>
        </w:rPr>
        <w:t>(北京时间)</w:t>
      </w:r>
      <w:r>
        <w:rPr>
          <w:rFonts w:hint="eastAsia" w:ascii="宋体" w:hAnsi="宋体" w:cs="宋体"/>
          <w:color w:val="auto"/>
          <w:sz w:val="24"/>
          <w:szCs w:val="24"/>
          <w:lang w:eastAsia="zh-CN"/>
        </w:rPr>
        <w:t>。</w:t>
      </w:r>
    </w:p>
    <w:p w14:paraId="6F74A965">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宋体" w:hAnsi="宋体" w:eastAsia="宋体" w:cs="宋体"/>
          <w:color w:val="auto"/>
          <w:sz w:val="24"/>
          <w:szCs w:val="24"/>
          <w:lang w:eastAsia="zh-CN"/>
        </w:rPr>
        <w:t>福建省南平市建阳区潭阳大道156号体育中心体育场一层通道2(建阳区阳光招采中心)</w:t>
      </w:r>
      <w:r>
        <w:rPr>
          <w:rFonts w:hint="eastAsia" w:ascii="宋体" w:hAnsi="宋体" w:eastAsia="宋体" w:cs="宋体"/>
          <w:b/>
          <w:bCs/>
          <w:color w:val="auto"/>
          <w:sz w:val="24"/>
          <w:szCs w:val="24"/>
          <w:lang w:val="en-US" w:eastAsia="zh-CN"/>
        </w:rPr>
        <w:t>。</w:t>
      </w:r>
    </w:p>
    <w:p w14:paraId="03B46C84">
      <w:pPr>
        <w:keepNext w:val="0"/>
        <w:keepLines w:val="0"/>
        <w:pageBreakBefore w:val="0"/>
        <w:widowControl/>
        <w:kinsoku/>
        <w:wordWrap/>
        <w:overflowPunct/>
        <w:topLinePunct w:val="0"/>
        <w:autoSpaceDE/>
        <w:autoSpaceDN/>
        <w:bidi w:val="0"/>
        <w:adjustRightInd/>
        <w:snapToGrid/>
        <w:spacing w:line="420" w:lineRule="exact"/>
        <w:ind w:firstLine="484"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、询问规定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招标人或者招标代理机构应当在3日内对投标人依法提出的询问作出答复。投标人提出的询问或者异议超出招标人对招标代理机构委托授权范围的，招标代理机构应当告知供应商向招标人提出。</w:t>
      </w:r>
    </w:p>
    <w:p w14:paraId="6E410498">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6"/>
          <w:sz w:val="24"/>
          <w:szCs w:val="24"/>
          <w:highlight w:val="none"/>
        </w:rPr>
        <w:t>投标人对本次招标文件事项提出异议的，</w:t>
      </w:r>
      <w:r>
        <w:rPr>
          <w:rFonts w:hint="eastAsia" w:asciiTheme="minorEastAsia" w:hAnsiTheme="minorEastAsia" w:eastAsiaTheme="minorEastAsia" w:cstheme="minorEastAsia"/>
          <w:color w:val="auto"/>
          <w:sz w:val="24"/>
          <w:szCs w:val="24"/>
          <w:highlight w:val="none"/>
        </w:rPr>
        <w:t>请在投标截止时间10个日历日之前</w:t>
      </w:r>
      <w:r>
        <w:rPr>
          <w:rFonts w:hint="eastAsia" w:asciiTheme="minorEastAsia" w:hAnsiTheme="minorEastAsia" w:eastAsiaTheme="minorEastAsia" w:cstheme="minorEastAsia"/>
          <w:color w:val="auto"/>
          <w:spacing w:val="-6"/>
          <w:sz w:val="24"/>
          <w:szCs w:val="24"/>
          <w:highlight w:val="none"/>
        </w:rPr>
        <w:t>以书面形式</w:t>
      </w:r>
      <w:r>
        <w:rPr>
          <w:rFonts w:hint="eastAsia" w:asciiTheme="minorEastAsia" w:hAnsiTheme="minorEastAsia" w:eastAsiaTheme="minorEastAsia" w:cstheme="minorEastAsia"/>
          <w:color w:val="auto"/>
          <w:sz w:val="24"/>
          <w:szCs w:val="24"/>
          <w:highlight w:val="none"/>
        </w:rPr>
        <w:t>(有效签署的原件并加盖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公章，拒绝传真、电邮、电话形式等其它形式)提交到本公司并与项目负责人联系，</w:t>
      </w:r>
      <w:r>
        <w:rPr>
          <w:rFonts w:hint="eastAsia" w:asciiTheme="minorEastAsia" w:hAnsiTheme="minorEastAsia" w:eastAsiaTheme="minorEastAsia" w:cstheme="minorEastAsia"/>
          <w:bCs/>
          <w:color w:val="auto"/>
          <w:sz w:val="24"/>
          <w:szCs w:val="24"/>
          <w:highlight w:val="none"/>
        </w:rPr>
        <w:t>逾期提交的不予受理</w:t>
      </w:r>
      <w:r>
        <w:rPr>
          <w:rFonts w:hint="eastAsia" w:asciiTheme="minorEastAsia" w:hAnsiTheme="minorEastAsia" w:eastAsiaTheme="minorEastAsia" w:cstheme="minorEastAsia"/>
          <w:color w:val="auto"/>
          <w:sz w:val="24"/>
          <w:szCs w:val="24"/>
          <w:highlight w:val="none"/>
        </w:rPr>
        <w:t>。</w:t>
      </w:r>
    </w:p>
    <w:p w14:paraId="64C26AA3">
      <w:pPr>
        <w:keepNext w:val="0"/>
        <w:keepLines w:val="0"/>
        <w:pageBreakBefore w:val="0"/>
        <w:kinsoku/>
        <w:wordWrap/>
        <w:overflowPunct/>
        <w:topLinePunct w:val="0"/>
        <w:autoSpaceDE/>
        <w:autoSpaceDN/>
        <w:bidi w:val="0"/>
        <w:adjustRightInd/>
        <w:snapToGrid/>
        <w:spacing w:line="420" w:lineRule="exact"/>
        <w:ind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有关本项目招标的相关信息</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包括招标文件若有修改补充</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lang w:eastAsia="zh-CN"/>
        </w:rPr>
        <w:t>福建鼎御招标有限公司</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pacing w:val="-2"/>
          <w:sz w:val="24"/>
          <w:szCs w:val="24"/>
          <w:highlight w:val="none"/>
        </w:rPr>
        <w:t>通过以下媒介发布通知，</w:t>
      </w:r>
      <w:r>
        <w:rPr>
          <w:rFonts w:hint="eastAsia" w:asciiTheme="minorEastAsia" w:hAnsiTheme="minorEastAsia" w:eastAsiaTheme="minorEastAsia" w:cstheme="minorEastAsia"/>
          <w:color w:val="auto"/>
          <w:sz w:val="24"/>
          <w:szCs w:val="24"/>
          <w:highlight w:val="none"/>
          <w:lang w:val="zh-CN"/>
        </w:rPr>
        <w:t>请潜在投标人随时关注相关网站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以免错漏重要信息。</w:t>
      </w:r>
      <w:r>
        <w:rPr>
          <w:rFonts w:hint="eastAsia" w:asciiTheme="minorEastAsia" w:hAnsiTheme="minorEastAsia" w:eastAsiaTheme="minorEastAsia" w:cstheme="minorEastAsia"/>
          <w:color w:val="auto"/>
          <w:sz w:val="24"/>
          <w:szCs w:val="24"/>
          <w:highlight w:val="none"/>
        </w:rPr>
        <w:t xml:space="preserve"> </w:t>
      </w:r>
    </w:p>
    <w:p w14:paraId="20B25F0C">
      <w:pPr>
        <w:keepNext w:val="0"/>
        <w:keepLines w:val="0"/>
        <w:pageBreakBefore w:val="0"/>
        <w:widowControl w:val="0"/>
        <w:kinsoku/>
        <w:wordWrap/>
        <w:overflowPunct/>
        <w:topLinePunct w:val="0"/>
        <w:autoSpaceDE/>
        <w:autoSpaceDN/>
        <w:bidi w:val="0"/>
        <w:adjustRightInd/>
        <w:snapToGrid/>
        <w:spacing w:line="420" w:lineRule="exact"/>
        <w:ind w:firstLine="476" w:firstLineChars="200"/>
        <w:textAlignment w:val="auto"/>
        <w:rPr>
          <w:rFonts w:hint="eastAsia" w:asciiTheme="minorEastAsia" w:hAnsiTheme="minorEastAsia" w:eastAsiaTheme="minorEastAsia" w:cstheme="minorEastAsia"/>
          <w:b/>
          <w:bCs/>
          <w:color w:val="auto"/>
          <w:spacing w:val="-2"/>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福建</w:t>
      </w:r>
      <w:r>
        <w:rPr>
          <w:rFonts w:hint="eastAsia" w:asciiTheme="minorEastAsia" w:hAnsiTheme="minorEastAsia" w:eastAsiaTheme="minorEastAsia" w:cstheme="minorEastAsia"/>
          <w:b/>
          <w:bCs/>
          <w:color w:val="auto"/>
          <w:sz w:val="24"/>
          <w:szCs w:val="24"/>
          <w:highlight w:val="none"/>
          <w:lang w:val="en-US" w:eastAsia="zh-CN"/>
        </w:rPr>
        <w:t>鼎御招标有限公司</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http://www.fjdyzb.com/</w:t>
      </w:r>
      <w:r>
        <w:rPr>
          <w:rFonts w:hint="eastAsia" w:asciiTheme="minorEastAsia" w:hAnsiTheme="minorEastAsia" w:eastAsiaTheme="minorEastAsia" w:cstheme="minorEastAsia"/>
          <w:b/>
          <w:bCs/>
          <w:color w:val="auto"/>
          <w:sz w:val="24"/>
          <w:highlight w:val="none"/>
        </w:rPr>
        <w:t>)</w:t>
      </w:r>
    </w:p>
    <w:p w14:paraId="39B1262D">
      <w:pPr>
        <w:keepNext w:val="0"/>
        <w:keepLines w:val="0"/>
        <w:pageBreakBefore w:val="0"/>
        <w:widowControl w:val="0"/>
        <w:kinsoku/>
        <w:wordWrap/>
        <w:overflowPunct/>
        <w:topLinePunct w:val="0"/>
        <w:autoSpaceDE/>
        <w:autoSpaceDN/>
        <w:bidi w:val="0"/>
        <w:adjustRightInd/>
        <w:snapToGrid/>
        <w:spacing w:line="420" w:lineRule="exact"/>
        <w:ind w:firstLine="476" w:firstLineChars="200"/>
        <w:textAlignment w:val="auto"/>
        <w:rPr>
          <w:rFonts w:hint="eastAsia" w:asciiTheme="minorEastAsia" w:hAnsiTheme="minorEastAsia" w:eastAsiaTheme="minorEastAsia" w:cstheme="minorEastAsia"/>
          <w:b/>
          <w:bCs/>
          <w:color w:val="auto"/>
          <w:spacing w:val="-2"/>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(2)</w:t>
      </w:r>
      <w:r>
        <w:rPr>
          <w:rFonts w:hint="eastAsia" w:asciiTheme="minorEastAsia" w:hAnsiTheme="minorEastAsia" w:eastAsiaTheme="minorEastAsia" w:cstheme="minorEastAsia"/>
          <w:b/>
          <w:bCs/>
          <w:color w:val="auto"/>
          <w:sz w:val="24"/>
          <w:highlight w:val="none"/>
        </w:rPr>
        <w:t>中国招标投标公共服务平台（</w:t>
      </w:r>
      <w:r>
        <w:rPr>
          <w:rFonts w:ascii="宋体" w:hAnsi="宋体" w:eastAsia="宋体" w:cs="宋体"/>
          <w:b/>
          <w:bCs/>
          <w:sz w:val="24"/>
          <w:szCs w:val="24"/>
        </w:rPr>
        <w:t>http://www.cebpubservice.com/</w:t>
      </w:r>
      <w:r>
        <w:rPr>
          <w:rFonts w:hint="eastAsia" w:asciiTheme="minorEastAsia" w:hAnsiTheme="minorEastAsia" w:eastAsiaTheme="minorEastAsia" w:cstheme="minorEastAsia"/>
          <w:b/>
          <w:bCs/>
          <w:color w:val="auto"/>
          <w:sz w:val="24"/>
          <w:highlight w:val="none"/>
        </w:rPr>
        <w:t>）</w:t>
      </w:r>
    </w:p>
    <w:p w14:paraId="3DAACF12">
      <w:pPr>
        <w:pStyle w:val="31"/>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(3)工采通电子招投标交易平台(</w:t>
      </w:r>
      <w:r>
        <w:rPr>
          <w:rFonts w:hint="eastAsia" w:ascii="宋体" w:hAnsi="宋体" w:eastAsia="宋体" w:cs="宋体"/>
          <w:b/>
          <w:bCs/>
          <w:color w:val="auto"/>
          <w:sz w:val="24"/>
          <w:szCs w:val="24"/>
          <w:highlight w:val="none"/>
        </w:rPr>
        <w:t>http://www.easy-prt.com</w:t>
      </w:r>
      <w:r>
        <w:rPr>
          <w:rFonts w:hint="eastAsia" w:asciiTheme="minorEastAsia" w:hAnsiTheme="minorEastAsia" w:eastAsiaTheme="minorEastAsia" w:cstheme="minorEastAsia"/>
          <w:b/>
          <w:bCs/>
          <w:color w:val="auto"/>
          <w:spacing w:val="-2"/>
          <w:sz w:val="24"/>
          <w:szCs w:val="24"/>
          <w:highlight w:val="none"/>
          <w:lang w:val="en-US" w:eastAsia="zh-CN"/>
        </w:rPr>
        <w:t>)</w:t>
      </w:r>
    </w:p>
    <w:p w14:paraId="63314E73">
      <w:pPr>
        <w:keepNext w:val="0"/>
        <w:keepLines w:val="0"/>
        <w:pageBreakBefore w:val="0"/>
        <w:widowControl/>
        <w:kinsoku/>
        <w:wordWrap/>
        <w:overflowPunct/>
        <w:topLinePunct w:val="0"/>
        <w:autoSpaceDE/>
        <w:autoSpaceDN/>
        <w:bidi w:val="0"/>
        <w:spacing w:line="420" w:lineRule="exact"/>
        <w:ind w:firstLine="480"/>
        <w:jc w:val="left"/>
        <w:textAlignment w:val="auto"/>
        <w:rPr>
          <w:rFonts w:hint="eastAsia" w:eastAsia="宋体" w:asciiTheme="minorEastAsia" w:hAnsi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(4)</w:t>
      </w:r>
      <w:r>
        <w:rPr>
          <w:rFonts w:hint="eastAsia" w:ascii="宋体" w:hAnsi="宋体" w:eastAsia="宋体" w:cs="宋体"/>
          <w:b/>
          <w:bCs/>
          <w:color w:val="auto"/>
          <w:sz w:val="24"/>
          <w:szCs w:val="24"/>
          <w:shd w:val="clear" w:color="auto" w:fill="FFFFFF"/>
        </w:rPr>
        <w:t>国有企业阳光招采平台</w:t>
      </w:r>
      <w:r>
        <w:rPr>
          <w:rFonts w:hint="eastAsia" w:ascii="宋体" w:hAnsi="宋体" w:cs="宋体"/>
          <w:b/>
          <w:bCs/>
          <w:color w:val="auto"/>
          <w:sz w:val="24"/>
          <w:szCs w:val="24"/>
          <w:shd w:val="clear" w:color="auto" w:fill="FFFFFF"/>
          <w:lang w:eastAsia="zh-CN"/>
        </w:rPr>
        <w:t>（</w:t>
      </w:r>
      <w:r>
        <w:rPr>
          <w:rFonts w:hint="eastAsia" w:ascii="宋体" w:hAnsi="宋体" w:eastAsia="宋体" w:cs="宋体"/>
          <w:b/>
          <w:bCs/>
          <w:color w:val="auto"/>
          <w:sz w:val="24"/>
          <w:szCs w:val="24"/>
          <w:shd w:val="clear" w:color="auto" w:fill="FFFFFF"/>
        </w:rPr>
        <w:t>网址： http://www.npygcg.com/</w:t>
      </w:r>
      <w:r>
        <w:rPr>
          <w:rFonts w:hint="eastAsia" w:ascii="宋体" w:hAnsi="宋体" w:cs="宋体"/>
          <w:b/>
          <w:bCs/>
          <w:color w:val="auto"/>
          <w:sz w:val="24"/>
          <w:szCs w:val="24"/>
          <w:shd w:val="clear" w:color="auto" w:fill="FFFFFF"/>
          <w:lang w:eastAsia="zh-CN"/>
        </w:rPr>
        <w:t>）</w:t>
      </w:r>
    </w:p>
    <w:p w14:paraId="0D973B60">
      <w:pPr>
        <w:keepNext w:val="0"/>
        <w:keepLines w:val="0"/>
        <w:pageBreakBefore w:val="0"/>
        <w:widowControl/>
        <w:kinsoku/>
        <w:wordWrap/>
        <w:overflowPunct/>
        <w:topLinePunct w:val="0"/>
        <w:autoSpaceDE/>
        <w:autoSpaceDN/>
        <w:bidi w:val="0"/>
        <w:spacing w:line="420" w:lineRule="exact"/>
        <w:ind w:firstLine="480"/>
        <w:jc w:val="left"/>
        <w:textAlignment w:val="auto"/>
        <w:rPr>
          <w:rFonts w:hint="eastAsia" w:ascii="宋体" w:hAnsi="宋体" w:eastAsia="宋体" w:cs="宋体"/>
          <w:b/>
          <w:bCs w:val="0"/>
          <w:sz w:val="24"/>
          <w:szCs w:val="24"/>
          <w:highlight w:val="none"/>
        </w:rPr>
      </w:pPr>
    </w:p>
    <w:p w14:paraId="44F2EE58">
      <w:pPr>
        <w:keepNext w:val="0"/>
        <w:keepLines w:val="0"/>
        <w:pageBreakBefore w:val="0"/>
        <w:widowControl/>
        <w:kinsoku/>
        <w:wordWrap/>
        <w:overflowPunct/>
        <w:topLinePunct w:val="0"/>
        <w:autoSpaceDE/>
        <w:autoSpaceDN/>
        <w:bidi w:val="0"/>
        <w:spacing w:line="420" w:lineRule="exact"/>
        <w:ind w:firstLine="484"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rPr>
        <w:t>1</w:t>
      </w:r>
      <w:r>
        <w:rPr>
          <w:rFonts w:hint="eastAsia" w:ascii="宋体" w:hAnsi="宋体" w:cs="宋体"/>
          <w:b/>
          <w:bCs w:val="0"/>
          <w:sz w:val="24"/>
          <w:szCs w:val="24"/>
          <w:highlight w:val="none"/>
          <w:lang w:val="en-US" w:eastAsia="zh-CN"/>
        </w:rPr>
        <w:t>0</w:t>
      </w:r>
      <w:r>
        <w:rPr>
          <w:rFonts w:hint="eastAsia" w:ascii="宋体" w:hAnsi="宋体" w:eastAsia="宋体" w:cs="宋体"/>
          <w:b/>
          <w:bCs w:val="0"/>
          <w:sz w:val="24"/>
          <w:szCs w:val="24"/>
          <w:highlight w:val="none"/>
        </w:rPr>
        <w:t>、招标代理机构信息</w:t>
      </w:r>
      <w:r>
        <w:rPr>
          <w:rFonts w:hint="eastAsia" w:ascii="宋体" w:hAnsi="宋体" w:eastAsia="宋体" w:cs="宋体"/>
          <w:b/>
          <w:bCs w:val="0"/>
          <w:color w:val="auto"/>
          <w:sz w:val="24"/>
          <w:szCs w:val="24"/>
          <w:highlight w:val="none"/>
        </w:rPr>
        <w:t>：</w:t>
      </w:r>
      <w:r>
        <w:rPr>
          <w:rFonts w:hint="eastAsia" w:ascii="宋体" w:hAnsi="宋体" w:cs="宋体"/>
          <w:b/>
          <w:bCs w:val="0"/>
          <w:sz w:val="24"/>
          <w:szCs w:val="24"/>
          <w:highlight w:val="none"/>
          <w:lang w:eastAsia="zh-CN"/>
        </w:rPr>
        <w:t>福建鼎御招标有限公司</w:t>
      </w:r>
    </w:p>
    <w:p w14:paraId="2E3F40F1">
      <w:pPr>
        <w:keepNext w:val="0"/>
        <w:keepLines w:val="0"/>
        <w:pageBreakBefore w:val="0"/>
        <w:widowControl/>
        <w:kinsoku/>
        <w:wordWrap/>
        <w:overflowPunct/>
        <w:topLinePunct w:val="0"/>
        <w:autoSpaceDE/>
        <w:autoSpaceDN/>
        <w:bidi w:val="0"/>
        <w:spacing w:line="42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rPr>
        <w:t>福建省南平市建阳区黄花山路33-2号2幢1楼</w:t>
      </w:r>
    </w:p>
    <w:p w14:paraId="73686682">
      <w:pPr>
        <w:keepNext w:val="0"/>
        <w:keepLines w:val="0"/>
        <w:pageBreakBefore w:val="0"/>
        <w:widowControl/>
        <w:kinsoku/>
        <w:wordWrap/>
        <w:overflowPunct/>
        <w:topLinePunct w:val="0"/>
        <w:autoSpaceDE/>
        <w:autoSpaceDN/>
        <w:bidi w:val="0"/>
        <w:spacing w:line="42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邮编： 354200</w:t>
      </w:r>
    </w:p>
    <w:p w14:paraId="24D093B0">
      <w:pPr>
        <w:keepNext w:val="0"/>
        <w:keepLines w:val="0"/>
        <w:pageBreakBefore w:val="0"/>
        <w:widowControl/>
        <w:kinsoku/>
        <w:wordWrap/>
        <w:overflowPunct/>
        <w:topLinePunct w:val="0"/>
        <w:autoSpaceDE/>
        <w:autoSpaceDN/>
        <w:bidi w:val="0"/>
        <w:spacing w:line="420" w:lineRule="exact"/>
        <w:ind w:firstLine="484"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rPr>
        <w:t>刘群、陈烨、应芳、吴玲娟</w:t>
      </w:r>
      <w:r>
        <w:rPr>
          <w:rFonts w:hint="eastAsia" w:ascii="宋体" w:hAnsi="宋体" w:eastAsia="宋体" w:cs="宋体"/>
          <w:color w:val="auto"/>
          <w:sz w:val="24"/>
          <w:szCs w:val="24"/>
          <w:shd w:val="clear" w:color="auto" w:fill="FFFFFF"/>
          <w:lang w:val="en-US" w:eastAsia="zh-CN"/>
        </w:rPr>
        <w:t xml:space="preserve">   </w:t>
      </w:r>
    </w:p>
    <w:p w14:paraId="4B9A226C">
      <w:pPr>
        <w:keepNext w:val="0"/>
        <w:keepLines w:val="0"/>
        <w:pageBreakBefore w:val="0"/>
        <w:widowControl/>
        <w:kinsoku/>
        <w:wordWrap/>
        <w:overflowPunct/>
        <w:topLinePunct w:val="0"/>
        <w:autoSpaceDE/>
        <w:autoSpaceDN/>
        <w:bidi w:val="0"/>
        <w:spacing w:line="42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lang w:val="en-US" w:eastAsia="zh-CN"/>
        </w:rPr>
        <w:t>0599-5837890</w:t>
      </w:r>
    </w:p>
    <w:p w14:paraId="1F00258B">
      <w:pPr>
        <w:keepNext w:val="0"/>
        <w:keepLines w:val="0"/>
        <w:pageBreakBefore w:val="0"/>
        <w:widowControl/>
        <w:kinsoku/>
        <w:wordWrap/>
        <w:overflowPunct/>
        <w:topLinePunct w:val="0"/>
        <w:autoSpaceDE/>
        <w:autoSpaceDN/>
        <w:bidi w:val="0"/>
        <w:adjustRightInd w:val="0"/>
        <w:snapToGrid w:val="0"/>
        <w:spacing w:line="42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cs="宋体"/>
          <w:color w:val="auto"/>
          <w:sz w:val="24"/>
          <w:szCs w:val="24"/>
          <w:highlight w:val="none"/>
          <w:lang w:val="en-US" w:eastAsia="zh-CN"/>
        </w:rPr>
        <w:t>2539135645</w:t>
      </w:r>
      <w:r>
        <w:rPr>
          <w:rFonts w:hint="eastAsia" w:ascii="宋体" w:hAnsi="宋体" w:eastAsia="宋体" w:cs="宋体"/>
          <w:color w:val="auto"/>
          <w:sz w:val="24"/>
          <w:szCs w:val="24"/>
          <w:highlight w:val="none"/>
        </w:rPr>
        <w:t xml:space="preserve">@qq.com  </w:t>
      </w:r>
    </w:p>
    <w:p w14:paraId="3A408628">
      <w:pPr>
        <w:keepNext w:val="0"/>
        <w:keepLines w:val="0"/>
        <w:pageBreakBefore w:val="0"/>
        <w:widowControl/>
        <w:kinsoku/>
        <w:wordWrap/>
        <w:overflowPunct/>
        <w:topLinePunct w:val="0"/>
        <w:autoSpaceDE/>
        <w:autoSpaceDN/>
        <w:bidi w:val="0"/>
        <w:adjustRightInd w:val="0"/>
        <w:snapToGrid w:val="0"/>
        <w:spacing w:line="420" w:lineRule="exact"/>
        <w:ind w:firstLine="484"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val="0"/>
          <w:kern w:val="1"/>
          <w:sz w:val="24"/>
          <w:szCs w:val="24"/>
          <w:highlight w:val="none"/>
          <w:lang w:val="en-US" w:eastAsia="zh-CN"/>
        </w:rPr>
        <w:t>1</w:t>
      </w:r>
      <w:r>
        <w:rPr>
          <w:rFonts w:hint="eastAsia" w:ascii="宋体" w:hAnsi="宋体" w:cs="宋体"/>
          <w:b/>
          <w:bCs w:val="0"/>
          <w:kern w:val="1"/>
          <w:sz w:val="24"/>
          <w:szCs w:val="24"/>
          <w:highlight w:val="none"/>
          <w:lang w:val="en-US" w:eastAsia="zh-CN"/>
        </w:rPr>
        <w:t>1</w:t>
      </w:r>
      <w:r>
        <w:rPr>
          <w:rFonts w:hint="eastAsia" w:ascii="宋体" w:hAnsi="宋体" w:eastAsia="宋体" w:cs="宋体"/>
          <w:b/>
          <w:bCs w:val="0"/>
          <w:kern w:val="1"/>
          <w:sz w:val="24"/>
          <w:szCs w:val="24"/>
          <w:highlight w:val="none"/>
          <w:lang w:val="en-US" w:eastAsia="zh-CN"/>
        </w:rPr>
        <w:t>、</w:t>
      </w:r>
      <w:r>
        <w:rPr>
          <w:rFonts w:hint="eastAsia" w:ascii="宋体" w:hAnsi="宋体" w:eastAsia="宋体" w:cs="宋体"/>
          <w:b/>
          <w:bCs w:val="0"/>
          <w:kern w:val="1"/>
          <w:sz w:val="24"/>
          <w:szCs w:val="24"/>
          <w:highlight w:val="none"/>
        </w:rPr>
        <w:t>招标人信息</w:t>
      </w:r>
      <w:r>
        <w:rPr>
          <w:rFonts w:hint="eastAsia" w:ascii="宋体" w:hAnsi="宋体" w:eastAsia="宋体" w:cs="宋体"/>
          <w:b/>
          <w:bCs w:val="0"/>
          <w:kern w:val="1"/>
          <w:sz w:val="24"/>
          <w:szCs w:val="24"/>
          <w:highlight w:val="none"/>
          <w:lang w:eastAsia="zh-CN"/>
        </w:rPr>
        <w:t>：</w:t>
      </w:r>
      <w:r>
        <w:rPr>
          <w:rFonts w:hint="eastAsia" w:ascii="宋体" w:hAnsi="宋体" w:cs="宋体"/>
          <w:b/>
          <w:bCs/>
          <w:color w:val="auto"/>
          <w:sz w:val="24"/>
          <w:szCs w:val="24"/>
          <w:highlight w:val="none"/>
          <w:lang w:eastAsia="zh-CN"/>
        </w:rPr>
        <w:t>南平武夷文旅研究院有限公司</w:t>
      </w:r>
    </w:p>
    <w:p w14:paraId="591E3D2B">
      <w:pPr>
        <w:pStyle w:val="82"/>
        <w:keepNext w:val="0"/>
        <w:keepLines w:val="0"/>
        <w:pageBreakBefore w:val="0"/>
        <w:kinsoku/>
        <w:overflowPunct/>
        <w:topLinePunct w:val="0"/>
        <w:bidi w:val="0"/>
        <w:snapToGrid/>
        <w:spacing w:line="400" w:lineRule="exact"/>
        <w:ind w:firstLine="484"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000000"/>
          <w:sz w:val="24"/>
          <w:szCs w:val="24"/>
          <w:lang w:val="en-US" w:eastAsia="zh-CN"/>
        </w:rPr>
        <w:t>福建省南平市建阳区潭阳大道156号体育中心体育场南侧二号通道旁</w:t>
      </w:r>
      <w:r>
        <w:rPr>
          <w:rFonts w:hint="eastAsia" w:ascii="宋体" w:hAnsi="宋体" w:eastAsia="宋体" w:cs="宋体"/>
          <w:color w:val="auto"/>
          <w:kern w:val="0"/>
          <w:sz w:val="24"/>
          <w:szCs w:val="24"/>
          <w:highlight w:val="none"/>
          <w:lang w:val="en-US" w:eastAsia="zh-CN"/>
        </w:rPr>
        <w:t xml:space="preserve"> </w:t>
      </w:r>
    </w:p>
    <w:p w14:paraId="7EF08805">
      <w:pPr>
        <w:pStyle w:val="100"/>
        <w:keepNext w:val="0"/>
        <w:keepLines w:val="0"/>
        <w:pageBreakBefore w:val="0"/>
        <w:widowControl/>
        <w:kinsoku/>
        <w:wordWrap/>
        <w:overflowPunct/>
        <w:topLinePunct w:val="0"/>
        <w:autoSpaceDE/>
        <w:autoSpaceDN/>
        <w:bidi w:val="0"/>
        <w:adjustRightInd/>
        <w:snapToGrid/>
        <w:spacing w:line="420" w:lineRule="exact"/>
        <w:ind w:left="0" w:leftChars="0"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color w:val="auto"/>
          <w:sz w:val="24"/>
          <w:szCs w:val="24"/>
        </w:rPr>
        <w:t>354200</w:t>
      </w:r>
    </w:p>
    <w:p w14:paraId="2920B563">
      <w:pPr>
        <w:keepNext w:val="0"/>
        <w:keepLines w:val="0"/>
        <w:pageBreakBefore w:val="0"/>
        <w:widowControl/>
        <w:kinsoku/>
        <w:wordWrap/>
        <w:overflowPunct/>
        <w:topLinePunct w:val="0"/>
        <w:autoSpaceDE/>
        <w:autoSpaceDN/>
        <w:bidi w:val="0"/>
        <w:spacing w:line="420" w:lineRule="exact"/>
        <w:ind w:left="0" w:leftChars="0" w:firstLine="484"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lang w:val="en-US" w:eastAsia="zh-CN"/>
        </w:rPr>
        <w:t>吴嘉捷</w:t>
      </w:r>
    </w:p>
    <w:p w14:paraId="00E5E5EF">
      <w:pPr>
        <w:keepNext w:val="0"/>
        <w:keepLines w:val="0"/>
        <w:pageBreakBefore w:val="0"/>
        <w:widowControl/>
        <w:kinsoku/>
        <w:wordWrap/>
        <w:overflowPunct/>
        <w:topLinePunct w:val="0"/>
        <w:autoSpaceDE/>
        <w:autoSpaceDN/>
        <w:bidi w:val="0"/>
        <w:spacing w:line="420" w:lineRule="exact"/>
        <w:ind w:left="0" w:leftChars="0" w:firstLine="484"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000000"/>
          <w:sz w:val="24"/>
          <w:szCs w:val="24"/>
          <w:lang w:val="en-US" w:eastAsia="zh-CN"/>
        </w:rPr>
        <w:t>13459909110</w:t>
      </w:r>
    </w:p>
    <w:p w14:paraId="7902B43C">
      <w:pPr>
        <w:keepNext w:val="0"/>
        <w:keepLines w:val="0"/>
        <w:pageBreakBefore w:val="0"/>
        <w:widowControl/>
        <w:kinsoku/>
        <w:wordWrap/>
        <w:overflowPunct/>
        <w:topLinePunct w:val="0"/>
        <w:autoSpaceDE/>
        <w:autoSpaceDN/>
        <w:bidi w:val="0"/>
        <w:spacing w:line="420" w:lineRule="exact"/>
        <w:ind w:left="0" w:leftChars="0" w:firstLine="484" w:firstLineChars="200"/>
        <w:jc w:val="left"/>
        <w:textAlignment w:val="auto"/>
        <w:rPr>
          <w:rFonts w:hint="default" w:ascii="宋体" w:hAnsi="宋体" w:eastAsia="宋体" w:cs="宋体"/>
          <w:color w:val="000000"/>
          <w:sz w:val="24"/>
          <w:szCs w:val="24"/>
          <w:lang w:val="en-US" w:eastAsia="zh-CN"/>
        </w:rPr>
      </w:pPr>
    </w:p>
    <w:p w14:paraId="6BE5728F">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7D2B4CAC">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b/>
          <w:color w:val="auto"/>
          <w:sz w:val="24"/>
          <w:szCs w:val="24"/>
        </w:rPr>
      </w:pPr>
    </w:p>
    <w:p w14:paraId="1EF0F93B">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附1：购买</w:t>
      </w:r>
      <w:r>
        <w:rPr>
          <w:rFonts w:hint="eastAsia" w:ascii="宋体" w:hAnsi="宋体" w:eastAsia="宋体" w:cs="宋体"/>
          <w:b/>
          <w:color w:val="auto"/>
          <w:sz w:val="24"/>
          <w:szCs w:val="24"/>
          <w:lang w:val="en-US" w:eastAsia="zh-CN"/>
        </w:rPr>
        <w:t>招标</w:t>
      </w:r>
      <w:r>
        <w:rPr>
          <w:rFonts w:hint="eastAsia" w:ascii="宋体" w:hAnsi="宋体" w:eastAsia="宋体" w:cs="宋体"/>
          <w:b/>
          <w:color w:val="auto"/>
          <w:sz w:val="24"/>
          <w:szCs w:val="24"/>
        </w:rPr>
        <w:t>文件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提交保证金</w:t>
      </w:r>
      <w:r>
        <w:rPr>
          <w:rFonts w:hint="eastAsia" w:ascii="宋体" w:hAnsi="宋体" w:eastAsia="宋体" w:cs="宋体"/>
          <w:b/>
          <w:color w:val="auto"/>
          <w:sz w:val="24"/>
          <w:szCs w:val="24"/>
          <w:lang w:val="en-US" w:eastAsia="zh-CN"/>
        </w:rPr>
        <w:t>和</w:t>
      </w:r>
      <w:r>
        <w:rPr>
          <w:rFonts w:hint="eastAsia"/>
          <w:b/>
          <w:bCs/>
          <w:color w:val="auto"/>
          <w:sz w:val="24"/>
          <w:highlight w:val="none"/>
        </w:rPr>
        <w:t>缴纳代理服务费</w:t>
      </w:r>
      <w:r>
        <w:rPr>
          <w:rFonts w:hint="eastAsia" w:ascii="宋体" w:hAnsi="宋体" w:eastAsia="宋体" w:cs="宋体"/>
          <w:b/>
          <w:color w:val="auto"/>
          <w:sz w:val="24"/>
          <w:szCs w:val="24"/>
        </w:rPr>
        <w:t>的银行账户信息</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26D2D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5FC939A5">
            <w:pPr>
              <w:pStyle w:val="100"/>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银行</w:t>
            </w:r>
            <w:r>
              <w:rPr>
                <w:rFonts w:hint="eastAsia" w:ascii="宋体" w:hAnsi="宋体" w:eastAsia="宋体" w:cs="宋体"/>
                <w:color w:val="auto"/>
                <w:sz w:val="24"/>
                <w:szCs w:val="24"/>
              </w:rPr>
              <w:t>账户</w:t>
            </w:r>
          </w:p>
        </w:tc>
      </w:tr>
      <w:tr w14:paraId="1B052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29C458D6">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开户名称：</w:t>
            </w:r>
            <w:r>
              <w:rPr>
                <w:rFonts w:hint="eastAsia" w:ascii="宋体" w:hAnsi="宋体" w:eastAsia="宋体" w:cs="宋体"/>
                <w:color w:val="auto"/>
                <w:sz w:val="24"/>
                <w:szCs w:val="24"/>
              </w:rPr>
              <w:t>福建鼎御招标有限公司</w:t>
            </w:r>
          </w:p>
        </w:tc>
      </w:tr>
      <w:tr w14:paraId="7AA9B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top"/>
          </w:tcPr>
          <w:p w14:paraId="70212EFD">
            <w:pPr>
              <w:pStyle w:val="10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开户银行</w:t>
            </w:r>
            <w:r>
              <w:rPr>
                <w:rFonts w:hint="eastAsia" w:ascii="宋体" w:hAnsi="宋体" w:cs="宋体"/>
                <w:b w:val="0"/>
                <w:bCs w:val="0"/>
                <w:sz w:val="24"/>
                <w:szCs w:val="24"/>
                <w:lang w:eastAsia="zh-CN"/>
              </w:rPr>
              <w:t>：</w:t>
            </w:r>
            <w:r>
              <w:rPr>
                <w:rFonts w:hint="eastAsia" w:ascii="宋体" w:hAnsi="宋体" w:cs="宋体"/>
                <w:b w:val="0"/>
                <w:bCs w:val="0"/>
                <w:color w:val="auto"/>
                <w:sz w:val="24"/>
              </w:rPr>
              <w:t>兴业银行股份有限公司建阳支行</w:t>
            </w:r>
          </w:p>
        </w:tc>
      </w:tr>
      <w:tr w14:paraId="66F91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top"/>
          </w:tcPr>
          <w:p w14:paraId="5B98DB3A">
            <w:pPr>
              <w:pStyle w:val="10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银行账号：</w:t>
            </w:r>
            <w:r>
              <w:rPr>
                <w:rFonts w:hint="eastAsia" w:ascii="宋体" w:hAnsi="宋体" w:cs="宋体"/>
                <w:b w:val="0"/>
                <w:bCs w:val="0"/>
                <w:color w:val="auto"/>
                <w:sz w:val="24"/>
              </w:rPr>
              <w:t>192020100100325860</w:t>
            </w:r>
          </w:p>
        </w:tc>
      </w:tr>
      <w:tr w14:paraId="0BB4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9B22A4C">
            <w:pPr>
              <w:pStyle w:val="100"/>
              <w:keepNext w:val="0"/>
              <w:keepLines w:val="0"/>
              <w:pageBreakBefore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5A605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325C2741">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4054DD3E">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2、投标人在转账或电汇的凭证上应按照以下格式注明，以便核对：“（项目编号：***）的投标保证金”。</w:t>
            </w:r>
          </w:p>
          <w:p w14:paraId="0DE53D80">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投标保证金提交的截止时间：投标截止日前一个工作日北京时间17：30之前。</w:t>
            </w:r>
          </w:p>
        </w:tc>
      </w:tr>
    </w:tbl>
    <w:p w14:paraId="52444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1B4546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06CE7D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1097E3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501612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40063F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052E66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03F508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0ACAEB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7455BA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p>
    <w:p w14:paraId="5A7463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招标项目一览表</w:t>
      </w:r>
    </w:p>
    <w:p w14:paraId="2D3F3F3E">
      <w:pPr>
        <w:spacing w:line="500" w:lineRule="exact"/>
        <w:ind w:firstLine="482"/>
        <w:jc w:val="center"/>
        <w:outlineLvl w:val="1"/>
        <w:rPr>
          <w:rFonts w:hint="eastAsia" w:asciiTheme="minorEastAsia" w:hAnsiTheme="minorEastAsia" w:eastAsiaTheme="minorEastAsia" w:cstheme="minorEastAsia"/>
          <w:b/>
          <w:color w:val="auto"/>
          <w:sz w:val="28"/>
          <w:szCs w:val="28"/>
          <w:highlight w:val="none"/>
        </w:rPr>
      </w:pPr>
      <w:bookmarkStart w:id="1" w:name="_Toc515463572"/>
      <w:bookmarkStart w:id="2" w:name="_Toc7657"/>
      <w:r>
        <w:rPr>
          <w:rFonts w:hint="eastAsia" w:asciiTheme="minorEastAsia" w:hAnsiTheme="minorEastAsia" w:eastAsiaTheme="minorEastAsia" w:cstheme="minorEastAsia"/>
          <w:b/>
          <w:color w:val="auto"/>
          <w:sz w:val="28"/>
          <w:szCs w:val="28"/>
          <w:highlight w:val="none"/>
        </w:rPr>
        <w:t>招标项目一览表</w:t>
      </w:r>
      <w:bookmarkEnd w:id="1"/>
      <w:bookmarkEnd w:id="2"/>
    </w:p>
    <w:tbl>
      <w:tblPr>
        <w:tblStyle w:val="3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47"/>
        <w:gridCol w:w="1983"/>
        <w:gridCol w:w="2400"/>
        <w:gridCol w:w="772"/>
        <w:gridCol w:w="1596"/>
        <w:gridCol w:w="1339"/>
      </w:tblGrid>
      <w:tr w14:paraId="61D7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dxa"/>
            <w:vAlign w:val="center"/>
          </w:tcPr>
          <w:p w14:paraId="7DA757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w:t>
            </w:r>
          </w:p>
        </w:tc>
        <w:tc>
          <w:tcPr>
            <w:tcW w:w="947" w:type="dxa"/>
            <w:vAlign w:val="center"/>
          </w:tcPr>
          <w:p w14:paraId="630C70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983" w:type="dxa"/>
            <w:vAlign w:val="center"/>
          </w:tcPr>
          <w:p w14:paraId="38EB8D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2400" w:type="dxa"/>
            <w:vAlign w:val="center"/>
          </w:tcPr>
          <w:p w14:paraId="427149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主要技术规格</w:t>
            </w:r>
          </w:p>
        </w:tc>
        <w:tc>
          <w:tcPr>
            <w:tcW w:w="772" w:type="dxa"/>
            <w:vAlign w:val="center"/>
          </w:tcPr>
          <w:p w14:paraId="237264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数量</w:t>
            </w:r>
          </w:p>
        </w:tc>
        <w:tc>
          <w:tcPr>
            <w:tcW w:w="1596" w:type="dxa"/>
            <w:vAlign w:val="center"/>
          </w:tcPr>
          <w:p w14:paraId="02F907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预算价</w:t>
            </w:r>
          </w:p>
          <w:p w14:paraId="038892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(元)</w:t>
            </w:r>
          </w:p>
        </w:tc>
        <w:tc>
          <w:tcPr>
            <w:tcW w:w="1339" w:type="dxa"/>
            <w:vAlign w:val="center"/>
          </w:tcPr>
          <w:p w14:paraId="67E503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Cs/>
                <w:color w:val="auto"/>
                <w:kern w:val="0"/>
                <w:sz w:val="24"/>
                <w:szCs w:val="24"/>
                <w:highlight w:val="none"/>
              </w:rPr>
            </w:pPr>
            <w:r>
              <w:rPr>
                <w:rStyle w:val="35"/>
                <w:rFonts w:hint="eastAsia" w:asciiTheme="minorEastAsia" w:hAnsiTheme="minorEastAsia" w:eastAsiaTheme="minorEastAsia" w:cstheme="minorEastAsia"/>
                <w:b w:val="0"/>
                <w:color w:val="auto"/>
                <w:sz w:val="24"/>
                <w:szCs w:val="24"/>
                <w:highlight w:val="none"/>
                <w:lang w:eastAsia="zh-CN"/>
              </w:rPr>
              <w:t>投标</w:t>
            </w:r>
            <w:r>
              <w:rPr>
                <w:rStyle w:val="35"/>
                <w:rFonts w:hint="eastAsia" w:asciiTheme="minorEastAsia" w:hAnsiTheme="minorEastAsia" w:eastAsiaTheme="minorEastAsia" w:cstheme="minorEastAsia"/>
                <w:b w:val="0"/>
                <w:color w:val="auto"/>
                <w:sz w:val="24"/>
                <w:szCs w:val="24"/>
                <w:highlight w:val="none"/>
              </w:rPr>
              <w:t>保证金(元)</w:t>
            </w:r>
          </w:p>
        </w:tc>
      </w:tr>
      <w:tr w14:paraId="1B45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dxa"/>
            <w:vAlign w:val="center"/>
          </w:tcPr>
          <w:p w14:paraId="2A1FA5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947" w:type="dxa"/>
            <w:vAlign w:val="center"/>
          </w:tcPr>
          <w:p w14:paraId="5281FC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1983" w:type="dxa"/>
            <w:vAlign w:val="center"/>
          </w:tcPr>
          <w:p w14:paraId="664C97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sz w:val="24"/>
                <w:szCs w:val="24"/>
                <w:lang w:eastAsia="zh-CN"/>
              </w:rPr>
              <w:t>南平市铁路旅游主题列车改造</w:t>
            </w:r>
          </w:p>
        </w:tc>
        <w:tc>
          <w:tcPr>
            <w:tcW w:w="2400" w:type="dxa"/>
            <w:vAlign w:val="center"/>
          </w:tcPr>
          <w:p w14:paraId="056074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详细技术参数要求见招标文件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第三章招标内容及要求</w:t>
            </w:r>
            <w:r>
              <w:rPr>
                <w:rFonts w:hint="eastAsia" w:asciiTheme="minorEastAsia" w:hAnsiTheme="minorEastAsia" w:eastAsiaTheme="minorEastAsia" w:cstheme="minorEastAsia"/>
                <w:color w:val="auto"/>
                <w:kern w:val="0"/>
                <w:sz w:val="24"/>
                <w:szCs w:val="24"/>
                <w:highlight w:val="none"/>
                <w:lang w:eastAsia="zh-CN"/>
              </w:rPr>
              <w:t>”</w:t>
            </w:r>
          </w:p>
        </w:tc>
        <w:tc>
          <w:tcPr>
            <w:tcW w:w="772" w:type="dxa"/>
            <w:vAlign w:val="center"/>
          </w:tcPr>
          <w:p w14:paraId="68BACB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项</w:t>
            </w:r>
          </w:p>
        </w:tc>
        <w:tc>
          <w:tcPr>
            <w:tcW w:w="1596" w:type="dxa"/>
            <w:vAlign w:val="center"/>
          </w:tcPr>
          <w:p w14:paraId="1D89B5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cs="宋体"/>
                <w:color w:val="auto"/>
                <w:sz w:val="24"/>
                <w:szCs w:val="24"/>
                <w:lang w:eastAsia="zh-CN"/>
              </w:rPr>
              <w:t>2</w:t>
            </w:r>
            <w:r>
              <w:rPr>
                <w:rFonts w:hint="eastAsia" w:ascii="宋体" w:hAnsi="宋体" w:cs="宋体"/>
                <w:color w:val="auto"/>
                <w:sz w:val="24"/>
                <w:szCs w:val="24"/>
                <w:lang w:val="en-US" w:eastAsia="zh-CN"/>
              </w:rPr>
              <w:t>692</w:t>
            </w:r>
            <w:r>
              <w:rPr>
                <w:rFonts w:hint="eastAsia" w:ascii="宋体" w:hAnsi="宋体" w:cs="宋体"/>
                <w:color w:val="auto"/>
                <w:sz w:val="24"/>
                <w:szCs w:val="24"/>
                <w:lang w:eastAsia="zh-CN"/>
              </w:rPr>
              <w:t>00</w:t>
            </w:r>
            <w:r>
              <w:rPr>
                <w:rFonts w:hint="eastAsia" w:ascii="宋体" w:hAnsi="宋体" w:eastAsia="宋体" w:cs="宋体"/>
                <w:color w:val="auto"/>
                <w:sz w:val="24"/>
                <w:szCs w:val="24"/>
              </w:rPr>
              <w:t>00.00</w:t>
            </w:r>
          </w:p>
        </w:tc>
        <w:tc>
          <w:tcPr>
            <w:tcW w:w="1339" w:type="dxa"/>
            <w:vAlign w:val="center"/>
          </w:tcPr>
          <w:p w14:paraId="1FFF744C">
            <w:pPr>
              <w:pStyle w:val="100"/>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cs="宋体"/>
                <w:color w:val="auto"/>
                <w:sz w:val="24"/>
                <w:szCs w:val="24"/>
                <w:lang w:eastAsia="zh-CN"/>
              </w:rPr>
              <w:t>2</w:t>
            </w:r>
            <w:r>
              <w:rPr>
                <w:rFonts w:hint="eastAsia" w:ascii="宋体" w:hAnsi="宋体" w:cs="宋体"/>
                <w:color w:val="auto"/>
                <w:sz w:val="24"/>
                <w:szCs w:val="24"/>
                <w:lang w:val="en-US" w:eastAsia="zh-CN"/>
              </w:rPr>
              <w:t>692</w:t>
            </w:r>
            <w:r>
              <w:rPr>
                <w:rFonts w:hint="eastAsia" w:ascii="宋体" w:hAnsi="宋体" w:cs="宋体"/>
                <w:color w:val="auto"/>
                <w:sz w:val="24"/>
                <w:szCs w:val="24"/>
                <w:lang w:eastAsia="zh-CN"/>
              </w:rPr>
              <w:t>00</w:t>
            </w:r>
            <w:r>
              <w:rPr>
                <w:rFonts w:hint="eastAsia" w:ascii="宋体" w:hAnsi="宋体" w:eastAsia="宋体" w:cs="宋体"/>
                <w:color w:val="auto"/>
                <w:sz w:val="24"/>
                <w:szCs w:val="24"/>
              </w:rPr>
              <w:t>.00</w:t>
            </w:r>
          </w:p>
        </w:tc>
      </w:tr>
    </w:tbl>
    <w:p w14:paraId="7617DC7C">
      <w:pPr>
        <w:keepNext w:val="0"/>
        <w:keepLines w:val="0"/>
        <w:pageBreakBefore w:val="0"/>
        <w:widowControl w:val="0"/>
        <w:kinsoku/>
        <w:wordWrap/>
        <w:overflowPunct/>
        <w:topLinePunct w:val="0"/>
        <w:autoSpaceDE/>
        <w:autoSpaceDN/>
        <w:bidi w:val="0"/>
        <w:adjustRightInd/>
        <w:snapToGrid/>
        <w:spacing w:line="420" w:lineRule="exact"/>
        <w:ind w:right="-139" w:rightChars="-66"/>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p>
    <w:p w14:paraId="34F719D9">
      <w:pPr>
        <w:keepNext w:val="0"/>
        <w:keepLines w:val="0"/>
        <w:pageBreakBefore w:val="0"/>
        <w:widowControl w:val="0"/>
        <w:kinsoku/>
        <w:wordWrap/>
        <w:overflowPunct/>
        <w:topLinePunct w:val="0"/>
        <w:autoSpaceDE/>
        <w:autoSpaceDN/>
        <w:bidi w:val="0"/>
        <w:adjustRightInd/>
        <w:snapToGrid/>
        <w:spacing w:line="420" w:lineRule="exact"/>
        <w:ind w:right="-139" w:rightChars="-66"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投标人须按合同包投标，对同一个合同包内</w:t>
      </w:r>
      <w:r>
        <w:rPr>
          <w:rFonts w:hint="eastAsia" w:asciiTheme="minorEastAsia" w:hAnsiTheme="minorEastAsia" w:eastAsiaTheme="minorEastAsia" w:cstheme="minorEastAsia"/>
          <w:color w:val="auto"/>
          <w:sz w:val="24"/>
          <w:szCs w:val="24"/>
          <w:highlight w:val="none"/>
          <w:lang w:eastAsia="zh-CN"/>
        </w:rPr>
        <w:t>的所有</w:t>
      </w:r>
      <w:r>
        <w:rPr>
          <w:rFonts w:hint="eastAsia" w:asciiTheme="minorEastAsia" w:hAnsiTheme="minorEastAsia" w:eastAsiaTheme="minorEastAsia" w:cstheme="minorEastAsia"/>
          <w:color w:val="auto"/>
          <w:sz w:val="24"/>
          <w:szCs w:val="24"/>
          <w:highlight w:val="none"/>
        </w:rPr>
        <w:t>内容投标时必须完整。不得仅对一个合同包中的部分内容进行投标，否则按无效投标处理。评标与授标以合同包为单位。</w:t>
      </w:r>
    </w:p>
    <w:p w14:paraId="2B8F1EE4">
      <w:pPr>
        <w:keepNext w:val="0"/>
        <w:keepLines w:val="0"/>
        <w:pageBreakBefore w:val="0"/>
        <w:widowControl w:val="0"/>
        <w:kinsoku/>
        <w:wordWrap/>
        <w:overflowPunct/>
        <w:topLinePunct w:val="0"/>
        <w:autoSpaceDE/>
        <w:autoSpaceDN/>
        <w:bidi w:val="0"/>
        <w:adjustRightInd/>
        <w:snapToGrid/>
        <w:spacing w:line="420" w:lineRule="exact"/>
        <w:ind w:right="-139" w:rightChars="-66"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p w14:paraId="7C129CF0">
      <w:pPr>
        <w:keepNext w:val="0"/>
        <w:keepLines w:val="0"/>
        <w:pageBreakBefore w:val="0"/>
        <w:widowControl w:val="0"/>
        <w:kinsoku/>
        <w:wordWrap/>
        <w:overflowPunct/>
        <w:topLinePunct w:val="0"/>
        <w:autoSpaceDE/>
        <w:autoSpaceDN/>
        <w:bidi w:val="0"/>
        <w:adjustRightInd/>
        <w:snapToGrid/>
        <w:spacing w:line="420" w:lineRule="exact"/>
        <w:ind w:right="-139" w:rightChars="-66" w:firstLine="48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标人不得将本项目进行分包或转包，如发现经查实，招标人有权单方解除合同并不予退还履约保证金，中标人还须向招标人支付本合同金额20%的违约金。违约金直接从招标人应支付中标人的费用中扣除，不足部分，中标人应自收到招标人通知之日起30日内缴纳。</w:t>
      </w:r>
    </w:p>
    <w:p w14:paraId="0B14F7CF">
      <w:pPr>
        <w:keepNext w:val="0"/>
        <w:keepLines w:val="0"/>
        <w:pageBreakBefore w:val="0"/>
        <w:widowControl w:val="0"/>
        <w:kinsoku/>
        <w:wordWrap/>
        <w:overflowPunct/>
        <w:topLinePunct w:val="0"/>
        <w:autoSpaceDE/>
        <w:autoSpaceDN/>
        <w:bidi w:val="0"/>
        <w:adjustRightInd/>
        <w:snapToGrid/>
        <w:spacing w:line="420" w:lineRule="exact"/>
        <w:ind w:right="-139" w:rightChars="-66" w:firstLine="484" w:firstLineChars="200"/>
        <w:textAlignment w:val="auto"/>
        <w:rPr>
          <w:rFonts w:hint="eastAsia" w:asciiTheme="minorEastAsia" w:hAnsiTheme="minorEastAsia" w:eastAsiaTheme="minorEastAsia" w:cstheme="minorEastAsia"/>
          <w:color w:val="auto"/>
          <w:sz w:val="24"/>
          <w:szCs w:val="24"/>
          <w:highlight w:val="none"/>
          <w:lang w:val="en-US" w:eastAsia="zh-CN"/>
        </w:rPr>
        <w:sectPr>
          <w:headerReference r:id="rId3" w:type="default"/>
          <w:footerReference r:id="rId4" w:type="default"/>
          <w:pgSz w:w="11906" w:h="16838"/>
          <w:pgMar w:top="1134" w:right="1134" w:bottom="1134" w:left="1134" w:header="851" w:footer="992" w:gutter="0"/>
          <w:pgNumType w:fmt="decimal"/>
          <w:cols w:space="0" w:num="1"/>
          <w:docGrid w:type="linesAndChars" w:linePitch="312" w:charSpace="529"/>
        </w:sectPr>
      </w:pPr>
      <w:r>
        <w:rPr>
          <w:rFonts w:hint="eastAsia" w:asciiTheme="minorEastAsia" w:hAnsiTheme="minorEastAsia" w:eastAsiaTheme="minorEastAsia" w:cstheme="minorEastAsia"/>
          <w:color w:val="auto"/>
          <w:sz w:val="24"/>
          <w:szCs w:val="24"/>
          <w:highlight w:val="none"/>
          <w:lang w:val="en-US" w:eastAsia="zh-CN"/>
        </w:rPr>
        <w:t>4.投标人必须由法定代表人或法定代表人正式授权的投标人代表参加开标会，在评审过程中须随时接受评标委员会询问，并予以解答。</w:t>
      </w:r>
    </w:p>
    <w:p w14:paraId="16E7ED1A">
      <w:pPr>
        <w:pStyle w:val="82"/>
        <w:spacing w:line="400" w:lineRule="exact"/>
        <w:jc w:val="center"/>
        <w:outlineLvl w:val="0"/>
        <w:rPr>
          <w:rFonts w:hint="eastAsia" w:asciiTheme="minorEastAsia" w:hAnsiTheme="minorEastAsia" w:eastAsiaTheme="minorEastAsia" w:cstheme="minorEastAsia"/>
          <w:color w:val="auto"/>
          <w:sz w:val="28"/>
          <w:szCs w:val="28"/>
          <w:highlight w:val="none"/>
        </w:rPr>
      </w:pPr>
      <w:bookmarkStart w:id="3" w:name="_Toc28602"/>
      <w:r>
        <w:rPr>
          <w:rFonts w:hint="eastAsia" w:asciiTheme="minorEastAsia" w:hAnsiTheme="minorEastAsia" w:eastAsiaTheme="minorEastAsia" w:cstheme="minorEastAsia"/>
          <w:b/>
          <w:color w:val="auto"/>
          <w:sz w:val="28"/>
          <w:szCs w:val="28"/>
          <w:highlight w:val="none"/>
        </w:rPr>
        <w:t>第二章  投标人须知</w:t>
      </w:r>
      <w:bookmarkEnd w:id="3"/>
    </w:p>
    <w:p w14:paraId="6136B0F7">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投标人须知前附表</w:t>
      </w:r>
    </w:p>
    <w:p w14:paraId="3B6B8162">
      <w:pPr>
        <w:spacing w:line="400" w:lineRule="exact"/>
        <w:ind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本须知前附表的</w:t>
      </w:r>
      <w:r>
        <w:rPr>
          <w:rFonts w:hint="eastAsia" w:asciiTheme="minorEastAsia" w:hAnsiTheme="minorEastAsia" w:eastAsiaTheme="minorEastAsia" w:cstheme="minorEastAsia"/>
          <w:color w:val="auto"/>
          <w:sz w:val="24"/>
          <w:szCs w:val="24"/>
          <w:highlight w:val="none"/>
          <w:lang w:eastAsia="zh-CN"/>
        </w:rPr>
        <w:t>项号</w:t>
      </w:r>
      <w:r>
        <w:rPr>
          <w:rFonts w:hint="eastAsia" w:asciiTheme="minorEastAsia" w:hAnsiTheme="minorEastAsia" w:eastAsiaTheme="minorEastAsia" w:cstheme="minorEastAsia"/>
          <w:color w:val="auto"/>
          <w:sz w:val="24"/>
          <w:szCs w:val="24"/>
          <w:highlight w:val="none"/>
        </w:rPr>
        <w:t>内容与招标文件内容如有矛盾，应以本须知前附表为准。</w:t>
      </w:r>
    </w:p>
    <w:tbl>
      <w:tblPr>
        <w:tblStyle w:val="32"/>
        <w:tblW w:w="985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65"/>
        <w:gridCol w:w="8432"/>
      </w:tblGrid>
      <w:tr w14:paraId="3FBB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57" w:type="dxa"/>
            <w:vAlign w:val="center"/>
          </w:tcPr>
          <w:p w14:paraId="61B9CD7C">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w:t>
            </w:r>
          </w:p>
          <w:p w14:paraId="0D628739">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号</w:t>
            </w:r>
          </w:p>
        </w:tc>
        <w:tc>
          <w:tcPr>
            <w:tcW w:w="965" w:type="dxa"/>
            <w:vAlign w:val="center"/>
          </w:tcPr>
          <w:p w14:paraId="7F9D784F">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w:t>
            </w:r>
          </w:p>
          <w:p w14:paraId="32351690">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号</w:t>
            </w:r>
          </w:p>
        </w:tc>
        <w:tc>
          <w:tcPr>
            <w:tcW w:w="8432" w:type="dxa"/>
            <w:vAlign w:val="center"/>
          </w:tcPr>
          <w:p w14:paraId="2B277B1C">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 列 内 容</w:t>
            </w:r>
          </w:p>
        </w:tc>
      </w:tr>
      <w:tr w14:paraId="5855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433B5F59">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65" w:type="dxa"/>
            <w:vAlign w:val="center"/>
          </w:tcPr>
          <w:p w14:paraId="3C27F2B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p>
        </w:tc>
        <w:tc>
          <w:tcPr>
            <w:tcW w:w="8432" w:type="dxa"/>
            <w:vAlign w:val="center"/>
          </w:tcPr>
          <w:p w14:paraId="3B6E7323">
            <w:pPr>
              <w:pStyle w:val="15"/>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Theme="minorEastAsia" w:hAnsiTheme="minorEastAsia" w:eastAsiaTheme="minorEastAsia" w:cstheme="minorEastAsia"/>
                <w:b w:val="0"/>
                <w:bCs w:val="0"/>
                <w:color w:val="auto"/>
                <w:szCs w:val="24"/>
                <w:highlight w:val="none"/>
                <w:u w:val="none"/>
                <w:lang w:eastAsia="zh-CN"/>
              </w:rPr>
            </w:pPr>
            <w:r>
              <w:rPr>
                <w:rFonts w:hint="eastAsia" w:asciiTheme="minorEastAsia" w:hAnsiTheme="minorEastAsia" w:eastAsiaTheme="minorEastAsia" w:cstheme="minorEastAsia"/>
                <w:b w:val="0"/>
                <w:bCs w:val="0"/>
                <w:color w:val="auto"/>
                <w:szCs w:val="24"/>
                <w:highlight w:val="none"/>
                <w:u w:val="none"/>
              </w:rPr>
              <w:t>项目名称</w:t>
            </w:r>
            <w:r>
              <w:rPr>
                <w:rFonts w:hint="eastAsia" w:asciiTheme="minorEastAsia" w:hAnsiTheme="minorEastAsia" w:eastAsiaTheme="minorEastAsia" w:cstheme="minorEastAsia"/>
                <w:b w:val="0"/>
                <w:bCs w:val="0"/>
                <w:color w:val="auto"/>
                <w:szCs w:val="24"/>
                <w:highlight w:val="none"/>
                <w:u w:val="none"/>
                <w:lang w:eastAsia="zh-CN"/>
              </w:rPr>
              <w:t>:</w:t>
            </w:r>
            <w:r>
              <w:rPr>
                <w:rFonts w:hint="eastAsia" w:asciiTheme="minorEastAsia" w:hAnsiTheme="minorEastAsia" w:eastAsiaTheme="minorEastAsia" w:cstheme="minorEastAsia"/>
                <w:b/>
                <w:bCs/>
                <w:color w:val="auto"/>
                <w:szCs w:val="24"/>
                <w:highlight w:val="none"/>
                <w:u w:val="single"/>
                <w:lang w:val="en-US" w:eastAsia="zh-CN"/>
              </w:rPr>
              <w:t>南平市铁路旅游主题列车改造项目</w:t>
            </w:r>
          </w:p>
          <w:p w14:paraId="66BE35A4">
            <w:pPr>
              <w:pStyle w:val="15"/>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Cs w:val="24"/>
                <w:highlight w:val="none"/>
                <w:u w:val="none"/>
              </w:rPr>
              <w:t>招标人名称</w:t>
            </w:r>
            <w:r>
              <w:rPr>
                <w:rFonts w:hint="eastAsia" w:asciiTheme="minorEastAsia" w:hAnsiTheme="minorEastAsia" w:eastAsiaTheme="minorEastAsia" w:cstheme="minorEastAsia"/>
                <w:b w:val="0"/>
                <w:bCs w:val="0"/>
                <w:color w:val="auto"/>
                <w:szCs w:val="24"/>
                <w:highlight w:val="none"/>
                <w:u w:val="none"/>
                <w:lang w:eastAsia="zh-CN"/>
              </w:rPr>
              <w:t>:</w:t>
            </w:r>
            <w:r>
              <w:rPr>
                <w:rFonts w:hint="eastAsia" w:asciiTheme="minorEastAsia" w:hAnsiTheme="minorEastAsia" w:eastAsiaTheme="minorEastAsia" w:cstheme="minorEastAsia"/>
                <w:b/>
                <w:bCs/>
                <w:color w:val="auto"/>
                <w:szCs w:val="24"/>
                <w:highlight w:val="none"/>
                <w:u w:val="single"/>
                <w:lang w:val="en-US" w:eastAsia="zh-CN"/>
              </w:rPr>
              <w:t>南平武夷文旅研究院有限公司</w:t>
            </w:r>
          </w:p>
          <w:p w14:paraId="3503C440">
            <w:pPr>
              <w:pStyle w:val="15"/>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Theme="minorEastAsia" w:hAnsiTheme="minorEastAsia" w:eastAsiaTheme="minorEastAsia" w:cstheme="minorEastAsia"/>
                <w:b w:val="0"/>
                <w:bCs w:val="0"/>
                <w:color w:val="auto"/>
                <w:szCs w:val="24"/>
                <w:highlight w:val="none"/>
                <w:u w:val="none"/>
              </w:rPr>
            </w:pPr>
            <w:r>
              <w:rPr>
                <w:rFonts w:hint="eastAsia" w:asciiTheme="minorEastAsia" w:hAnsiTheme="minorEastAsia" w:eastAsiaTheme="minorEastAsia" w:cstheme="minorEastAsia"/>
                <w:b w:val="0"/>
                <w:bCs w:val="0"/>
                <w:color w:val="auto"/>
                <w:szCs w:val="24"/>
                <w:highlight w:val="none"/>
                <w:u w:val="none"/>
              </w:rPr>
              <w:t>项目内容</w:t>
            </w:r>
            <w:r>
              <w:rPr>
                <w:rFonts w:hint="eastAsia" w:asciiTheme="minorEastAsia" w:hAnsiTheme="minorEastAsia" w:eastAsiaTheme="minorEastAsia" w:cstheme="minorEastAsia"/>
                <w:b w:val="0"/>
                <w:bCs w:val="0"/>
                <w:color w:val="auto"/>
                <w:szCs w:val="24"/>
                <w:highlight w:val="none"/>
                <w:u w:val="none"/>
                <w:lang w:eastAsia="zh-CN"/>
              </w:rPr>
              <w:t>:</w:t>
            </w:r>
            <w:r>
              <w:rPr>
                <w:rFonts w:hint="eastAsia" w:asciiTheme="minorEastAsia" w:hAnsiTheme="minorEastAsia" w:eastAsiaTheme="minorEastAsia" w:cstheme="minorEastAsia"/>
                <w:b/>
                <w:bCs/>
                <w:color w:val="auto"/>
                <w:szCs w:val="24"/>
                <w:highlight w:val="none"/>
                <w:u w:val="single"/>
              </w:rPr>
              <w:t>详见《招标项目一览表》</w:t>
            </w:r>
          </w:p>
          <w:p w14:paraId="1BCA67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lang w:val="en-US"/>
              </w:rPr>
            </w:pPr>
            <w:r>
              <w:rPr>
                <w:rFonts w:hint="eastAsia" w:asciiTheme="minorEastAsia" w:hAnsiTheme="minorEastAsia" w:eastAsiaTheme="minorEastAsia" w:cstheme="minorEastAsia"/>
                <w:b w:val="0"/>
                <w:bCs w:val="0"/>
                <w:color w:val="auto"/>
                <w:sz w:val="24"/>
                <w:szCs w:val="24"/>
                <w:highlight w:val="none"/>
                <w:u w:val="none"/>
                <w:lang w:eastAsia="zh-CN"/>
              </w:rPr>
              <w:t>招标</w:t>
            </w:r>
            <w:r>
              <w:rPr>
                <w:rFonts w:hint="eastAsia" w:asciiTheme="minorEastAsia" w:hAnsiTheme="minorEastAsia" w:eastAsiaTheme="minorEastAsia" w:cstheme="minorEastAsia"/>
                <w:b w:val="0"/>
                <w:bCs w:val="0"/>
                <w:color w:val="auto"/>
                <w:sz w:val="24"/>
                <w:szCs w:val="24"/>
                <w:highlight w:val="none"/>
                <w:u w:val="none"/>
              </w:rPr>
              <w:t>编</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号:</w:t>
            </w:r>
            <w:r>
              <w:rPr>
                <w:rFonts w:hint="eastAsia" w:asciiTheme="minorEastAsia" w:hAnsiTheme="minorEastAsia" w:eastAsiaTheme="minorEastAsia" w:cstheme="minorEastAsia"/>
                <w:b/>
                <w:bCs/>
                <w:color w:val="auto"/>
                <w:kern w:val="2"/>
                <w:sz w:val="24"/>
                <w:szCs w:val="24"/>
                <w:highlight w:val="none"/>
                <w:u w:val="single"/>
                <w:lang w:val="en-US" w:eastAsia="zh-CN" w:bidi="ar-SA"/>
              </w:rPr>
              <w:t>DYZB[GK]202601-02</w:t>
            </w:r>
          </w:p>
        </w:tc>
      </w:tr>
      <w:tr w14:paraId="280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5E0436D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965" w:type="dxa"/>
            <w:vAlign w:val="center"/>
          </w:tcPr>
          <w:p w14:paraId="289C7006">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p>
        </w:tc>
        <w:tc>
          <w:tcPr>
            <w:tcW w:w="8432" w:type="dxa"/>
            <w:vAlign w:val="center"/>
          </w:tcPr>
          <w:p w14:paraId="32A9DC2D">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资格标准</w:t>
            </w:r>
          </w:p>
          <w:p w14:paraId="360685F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(1)凡有能力提供本招标文件所述货物及服务的，具有</w:t>
            </w:r>
            <w:r>
              <w:rPr>
                <w:rFonts w:hint="eastAsia" w:asciiTheme="minorEastAsia" w:hAnsiTheme="minorEastAsia" w:eastAsiaTheme="minorEastAsia" w:cstheme="minorEastAsia"/>
                <w:color w:val="auto"/>
                <w:sz w:val="24"/>
                <w:szCs w:val="24"/>
                <w:highlight w:val="none"/>
                <w:lang w:eastAsia="zh-CN"/>
              </w:rPr>
              <w:t>法</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资格的</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可能成为合格的投标人。</w:t>
            </w:r>
          </w:p>
          <w:p w14:paraId="72171BA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(2)投标人应提供下列材料</w:t>
            </w:r>
            <w:r>
              <w:rPr>
                <w:rFonts w:hint="eastAsia" w:asciiTheme="minorEastAsia" w:hAnsiTheme="minorEastAsia" w:eastAsiaTheme="minorEastAsia" w:cstheme="minorEastAsia"/>
                <w:color w:val="auto"/>
                <w:sz w:val="24"/>
                <w:szCs w:val="24"/>
                <w:highlight w:val="none"/>
                <w:lang w:eastAsia="zh-CN"/>
              </w:rPr>
              <w:t>:</w:t>
            </w:r>
          </w:p>
          <w:p w14:paraId="4BF362D7">
            <w:pPr>
              <w:pStyle w:val="10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①一般资格证明文件：</w:t>
            </w:r>
          </w:p>
          <w:p w14:paraId="58B6D753">
            <w:pPr>
              <w:pStyle w:val="10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2"/>
              <w:tblW w:w="8398" w:type="dxa"/>
              <w:tblInd w:w="-5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1"/>
              <w:gridCol w:w="1815"/>
              <w:gridCol w:w="6072"/>
            </w:tblGrid>
            <w:tr w14:paraId="6CB0B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5BE49AD6">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80" w:type="pct"/>
                  <w:vAlign w:val="center"/>
                </w:tcPr>
                <w:p w14:paraId="6FA1012F">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资格审查要求概况</w:t>
                  </w:r>
                </w:p>
              </w:tc>
              <w:tc>
                <w:tcPr>
                  <w:tcW w:w="3615" w:type="pct"/>
                  <w:vAlign w:val="center"/>
                </w:tcPr>
                <w:p w14:paraId="2B577408">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评审点具体描述</w:t>
                  </w:r>
                </w:p>
              </w:tc>
            </w:tr>
            <w:tr w14:paraId="532D9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5F229EDB">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80" w:type="pct"/>
                  <w:vAlign w:val="center"/>
                </w:tcPr>
                <w:p w14:paraId="5EAB5441">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法定代表人授权书</w:t>
                  </w:r>
                </w:p>
              </w:tc>
              <w:tc>
                <w:tcPr>
                  <w:tcW w:w="3615" w:type="pct"/>
                  <w:vAlign w:val="center"/>
                </w:tcPr>
                <w:p w14:paraId="449A45DA">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①投标人法定代表人身份证正反面复印件；投标代表人身份证正反面复印件及法定代表人授权书(投标人代表若为法定代表人则无需提供法定代表人授权书)</w:t>
                  </w:r>
                </w:p>
              </w:tc>
            </w:tr>
            <w:tr w14:paraId="3F805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304" w:type="pct"/>
                  <w:vAlign w:val="center"/>
                </w:tcPr>
                <w:p w14:paraId="55EB8084">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80" w:type="pct"/>
                  <w:vAlign w:val="center"/>
                </w:tcPr>
                <w:p w14:paraId="7E7F8BB8">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w:t>
                  </w:r>
                </w:p>
              </w:tc>
              <w:tc>
                <w:tcPr>
                  <w:tcW w:w="3615" w:type="pct"/>
                  <w:vAlign w:val="center"/>
                </w:tcPr>
                <w:p w14:paraId="4583A239">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①投标人须提供有效的法人营业执照复印件</w:t>
                  </w:r>
                  <w:r>
                    <w:rPr>
                      <w:rFonts w:hint="eastAsia" w:asciiTheme="minorEastAsia" w:hAnsiTheme="minorEastAsia" w:eastAsiaTheme="minorEastAsia" w:cstheme="minorEastAsia"/>
                      <w:color w:val="auto"/>
                      <w:sz w:val="24"/>
                      <w:szCs w:val="24"/>
                      <w:highlight w:val="none"/>
                      <w:lang w:eastAsia="zh-CN"/>
                    </w:rPr>
                    <w:t>。</w:t>
                  </w:r>
                </w:p>
              </w:tc>
            </w:tr>
            <w:tr w14:paraId="3364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2769D299">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80" w:type="pct"/>
                  <w:vAlign w:val="center"/>
                </w:tcPr>
                <w:p w14:paraId="5CF27CB5">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提供财务状况报告(或资信证明）</w:t>
                  </w:r>
                </w:p>
              </w:tc>
              <w:tc>
                <w:tcPr>
                  <w:tcW w:w="3615" w:type="pct"/>
                  <w:vAlign w:val="center"/>
                </w:tcPr>
                <w:p w14:paraId="31217A8E">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①投标人须提供由会计师事务所出具的</w:t>
                  </w:r>
                  <w:r>
                    <w:rPr>
                      <w:rFonts w:hint="eastAsia" w:asciiTheme="minorEastAsia" w:hAnsiTheme="minorEastAsia" w:eastAsiaTheme="minorEastAsia" w:cstheme="minorEastAsia"/>
                      <w:color w:val="auto"/>
                      <w:sz w:val="24"/>
                      <w:szCs w:val="24"/>
                      <w:highlight w:val="none"/>
                      <w:lang w:val="en-US" w:eastAsia="zh-CN"/>
                    </w:rPr>
                    <w:t>上一</w:t>
                  </w:r>
                  <w:r>
                    <w:rPr>
                      <w:rFonts w:hint="eastAsia" w:asciiTheme="minorEastAsia" w:hAnsiTheme="minorEastAsia" w:eastAsiaTheme="minorEastAsia" w:cstheme="minorEastAsia"/>
                      <w:color w:val="auto"/>
                      <w:sz w:val="24"/>
                      <w:szCs w:val="24"/>
                      <w:highlight w:val="none"/>
                    </w:rPr>
                    <w:t>年度财务审计报告(至少包括资产负债表、利润表、现金流量表、所有者权益变动表（若有）及其附注（若有）、会计师事务所营业执照和注册会计师资格证书)；或者提供投标人基本账户开户银行出具的资信证明</w:t>
                  </w:r>
                  <w:r>
                    <w:rPr>
                      <w:rFonts w:hint="eastAsia" w:asciiTheme="minorEastAsia" w:hAnsiTheme="minorEastAsia" w:eastAsiaTheme="minorEastAsia" w:cstheme="minorEastAsia"/>
                      <w:color w:val="auto"/>
                      <w:sz w:val="24"/>
                      <w:szCs w:val="24"/>
                      <w:highlight w:val="none"/>
                      <w:lang w:val="en-US" w:eastAsia="zh-CN"/>
                    </w:rPr>
                    <w:t>复印件（不论是否注明“复印件无效”或“复印无效”均视为有效）</w:t>
                  </w:r>
                  <w:r>
                    <w:rPr>
                      <w:rFonts w:hint="eastAsia" w:asciiTheme="minorEastAsia" w:hAnsiTheme="minorEastAsia" w:eastAsiaTheme="minorEastAsia" w:cstheme="minorEastAsia"/>
                      <w:color w:val="auto"/>
                      <w:sz w:val="24"/>
                      <w:szCs w:val="24"/>
                      <w:highlight w:val="none"/>
                    </w:rPr>
                    <w:t>和开户许可证复印件(或提供《基本存款账户信息》复印件)。</w:t>
                  </w:r>
                </w:p>
              </w:tc>
            </w:tr>
            <w:tr w14:paraId="7A8EC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24AF7AB6">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080" w:type="pct"/>
                  <w:vAlign w:val="center"/>
                </w:tcPr>
                <w:p w14:paraId="659D342B">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依法缴纳税收证明材料</w:t>
                  </w:r>
                </w:p>
              </w:tc>
              <w:tc>
                <w:tcPr>
                  <w:tcW w:w="3615" w:type="pct"/>
                  <w:vAlign w:val="center"/>
                </w:tcPr>
                <w:p w14:paraId="06CB487A">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09A32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4266A642">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080" w:type="pct"/>
                  <w:vAlign w:val="center"/>
                </w:tcPr>
                <w:p w14:paraId="52D71676">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依法缴纳社会保障资金证明材料</w:t>
                  </w:r>
                </w:p>
              </w:tc>
              <w:tc>
                <w:tcPr>
                  <w:tcW w:w="3615" w:type="pct"/>
                  <w:vAlign w:val="center"/>
                </w:tcPr>
                <w:p w14:paraId="09A3EC15">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50B75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2D058893">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080" w:type="pct"/>
                  <w:vAlign w:val="center"/>
                </w:tcPr>
                <w:p w14:paraId="4507C5B5">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具备履行合同所必需设备和专业技术能力的声明函(若有)</w:t>
                  </w:r>
                </w:p>
              </w:tc>
              <w:tc>
                <w:tcPr>
                  <w:tcW w:w="3615" w:type="pct"/>
                  <w:vAlign w:val="center"/>
                </w:tcPr>
                <w:p w14:paraId="1A9FF912">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58CA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3A22D71D">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080" w:type="pct"/>
                  <w:vAlign w:val="center"/>
                </w:tcPr>
                <w:p w14:paraId="4F678869">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参加本项目投标前3年内在经营活动中没有重大违法记录、无行贿犯罪记录、没有失信记录的书面声明</w:t>
                  </w:r>
                </w:p>
              </w:tc>
              <w:tc>
                <w:tcPr>
                  <w:tcW w:w="3615" w:type="pct"/>
                  <w:vAlign w:val="center"/>
                </w:tcPr>
                <w:p w14:paraId="00150F31">
                  <w:pPr>
                    <w:pStyle w:val="100"/>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参加本项目投标前3年内在经营活动中没有重大违法</w:t>
                  </w:r>
                  <w:r>
                    <w:rPr>
                      <w:rFonts w:hint="eastAsia" w:asciiTheme="minorEastAsia" w:hAnsiTheme="minorEastAsia" w:eastAsiaTheme="minorEastAsia" w:cstheme="minorEastAsia"/>
                      <w:color w:val="auto"/>
                      <w:sz w:val="24"/>
                      <w:szCs w:val="24"/>
                      <w:highlight w:val="none"/>
                      <w:lang w:val="en-US" w:eastAsia="zh-CN"/>
                    </w:rPr>
                    <w:t>记录</w:t>
                  </w:r>
                  <w:r>
                    <w:rPr>
                      <w:rFonts w:hint="eastAsia" w:asciiTheme="minorEastAsia" w:hAnsiTheme="minorEastAsia" w:eastAsiaTheme="minorEastAsia" w:cstheme="minorEastAsia"/>
                      <w:color w:val="auto"/>
                      <w:sz w:val="24"/>
                      <w:szCs w:val="24"/>
                      <w:highlight w:val="none"/>
                    </w:rPr>
                    <w:t>、无行贿犯罪记录、</w:t>
                  </w:r>
                  <w:r>
                    <w:rPr>
                      <w:rFonts w:hint="eastAsia" w:asciiTheme="minorEastAsia" w:hAnsiTheme="minorEastAsia" w:eastAsiaTheme="minorEastAsia" w:cstheme="minorEastAsia"/>
                      <w:color w:val="auto"/>
                      <w:sz w:val="24"/>
                      <w:szCs w:val="24"/>
                      <w:highlight w:val="none"/>
                      <w:lang w:val="en-US" w:eastAsia="zh-CN"/>
                    </w:rPr>
                    <w:t>没有</w:t>
                  </w:r>
                  <w:r>
                    <w:rPr>
                      <w:rFonts w:hint="eastAsia" w:asciiTheme="minorEastAsia" w:hAnsiTheme="minorEastAsia" w:eastAsiaTheme="minorEastAsia" w:cstheme="minorEastAsia"/>
                      <w:color w:val="auto"/>
                      <w:sz w:val="24"/>
                      <w:szCs w:val="24"/>
                      <w:highlight w:val="none"/>
                    </w:rPr>
                    <w:t>失信记录的书面声明。被列入失信被执行人、重大税收违法案件当事人名单、政府采购严重违法失信行为记录名单的投标人，不得参加本次投标。评标委员会通过</w:t>
                  </w:r>
                  <w:r>
                    <w:rPr>
                      <w:rFonts w:hint="eastAsia" w:asciiTheme="minorEastAsia" w:hAnsiTheme="minorEastAsia" w:eastAsiaTheme="minorEastAsia" w:cstheme="minorEastAsia"/>
                      <w:b/>
                      <w:bCs/>
                      <w:color w:val="auto"/>
                      <w:spacing w:val="-20"/>
                      <w:sz w:val="24"/>
                      <w:szCs w:val="24"/>
                      <w:highlight w:val="none"/>
                    </w:rPr>
                    <w:t>中国政府采购网</w:t>
                  </w:r>
                  <w:r>
                    <w:rPr>
                      <w:rFonts w:hint="eastAsia" w:asciiTheme="minorEastAsia" w:hAnsiTheme="minorEastAsia" w:eastAsiaTheme="minorEastAsia" w:cstheme="minorEastAsia"/>
                      <w:b/>
                      <w:bCs/>
                      <w:color w:val="auto"/>
                      <w:sz w:val="24"/>
                      <w:szCs w:val="24"/>
                      <w:highlight w:val="none"/>
                    </w:rPr>
                    <w:t>(www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ccgp</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cn)、信用中国(https://www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creditchina</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cn/)、国家企业信用信息公示系统(http://www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gsxt</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w:t>
                  </w:r>
                  <w:r>
                    <w:rPr>
                      <w:rFonts w:hint="eastAsia" w:asciiTheme="minorEastAsia" w:hAnsiTheme="minorEastAsia" w:eastAsiaTheme="minorEastAsia" w:cstheme="minorEastAsia"/>
                      <w:color w:val="auto"/>
                      <w:sz w:val="24"/>
                      <w:szCs w:val="24"/>
                      <w:highlight w:val="none"/>
                    </w:rPr>
                    <w:t>查询并打印投标人信用记录，查询结果存在投标人应被拒绝参与本次招标活动相关信息的，其资格审查不合格。因上述网站原因导致评标委员会无法查询投标人信用记录的(评标委员会应将通过上述网站查询投标人信用记录时的原始页面打印后随采购文件一并存档)，视为查询结果未存在投标人应被拒绝参与招标活动的相关信息。</w:t>
                  </w:r>
                </w:p>
              </w:tc>
            </w:tr>
            <w:tr w14:paraId="028CB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54B48D00">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080" w:type="pct"/>
                  <w:vAlign w:val="center"/>
                </w:tcPr>
                <w:p w14:paraId="1B9B6FC7">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联合体投标</w:t>
                  </w:r>
                </w:p>
              </w:tc>
              <w:tc>
                <w:tcPr>
                  <w:tcW w:w="3615" w:type="pct"/>
                  <w:vAlign w:val="center"/>
                </w:tcPr>
                <w:p w14:paraId="62F2EE0A">
                  <w:pPr>
                    <w:pStyle w:val="10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本项目不接受联合体投标</w:t>
                  </w:r>
                </w:p>
              </w:tc>
            </w:tr>
            <w:tr w14:paraId="65E4E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64E39552">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080" w:type="pct"/>
                  <w:vAlign w:val="center"/>
                </w:tcPr>
                <w:p w14:paraId="43478F8A">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资格承诺函</w:t>
                  </w:r>
                </w:p>
              </w:tc>
              <w:tc>
                <w:tcPr>
                  <w:tcW w:w="3615" w:type="pct"/>
                  <w:vAlign w:val="top"/>
                </w:tcPr>
                <w:p w14:paraId="66885034">
                  <w:pPr>
                    <w:pStyle w:val="10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1AF1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4" w:type="pct"/>
                  <w:vAlign w:val="center"/>
                </w:tcPr>
                <w:p w14:paraId="79E4B846">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080" w:type="pct"/>
                  <w:vAlign w:val="center"/>
                </w:tcPr>
                <w:p w14:paraId="593A20D9">
                  <w:pPr>
                    <w:pStyle w:val="10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4"/>
                      <w:highlight w:val="none"/>
                    </w:rPr>
                    <w:t>具备履行合同所必需设备和专业技术能力专项证明材料</w:t>
                  </w:r>
                </w:p>
              </w:tc>
              <w:tc>
                <w:tcPr>
                  <w:tcW w:w="3615" w:type="pct"/>
                  <w:vAlign w:val="center"/>
                </w:tcPr>
                <w:p w14:paraId="57448550">
                  <w:pPr>
                    <w:pStyle w:val="100"/>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须具有国家铁路局颁发的铁路机车车辆维修许可证（许可产品类型YZ25G）</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许可证证书复印件。</w:t>
                  </w:r>
                </w:p>
              </w:tc>
            </w:tr>
          </w:tbl>
          <w:p w14:paraId="1655797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p>
          <w:p w14:paraId="3A19DD0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p>
          <w:p w14:paraId="0AECF37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所提供的资格证明必须真实、有效，否则按无效投标处理。</w:t>
            </w:r>
          </w:p>
        </w:tc>
      </w:tr>
      <w:tr w14:paraId="58DD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58FB1397">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965" w:type="dxa"/>
            <w:vAlign w:val="center"/>
          </w:tcPr>
          <w:p w14:paraId="4ABFAAC9">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p>
        </w:tc>
        <w:tc>
          <w:tcPr>
            <w:tcW w:w="8432" w:type="dxa"/>
            <w:vAlign w:val="center"/>
          </w:tcPr>
          <w:p w14:paraId="408DD9CE">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投标截止期结束后</w:t>
            </w:r>
            <w:r>
              <w:rPr>
                <w:rFonts w:hint="eastAsia" w:asciiTheme="minorEastAsia" w:hAnsiTheme="minorEastAsia" w:eastAsiaTheme="minorEastAsia" w:cstheme="minorEastAsia"/>
                <w:color w:val="auto"/>
                <w:sz w:val="24"/>
                <w:szCs w:val="24"/>
                <w:highlight w:val="none"/>
                <w:u w:val="single"/>
              </w:rPr>
              <w:t>90</w:t>
            </w:r>
            <w:r>
              <w:rPr>
                <w:rFonts w:hint="eastAsia" w:asciiTheme="minorEastAsia" w:hAnsiTheme="minorEastAsia" w:eastAsiaTheme="minorEastAsia" w:cstheme="minorEastAsia"/>
                <w:color w:val="auto"/>
                <w:sz w:val="24"/>
                <w:szCs w:val="24"/>
                <w:highlight w:val="none"/>
              </w:rPr>
              <w:t>日历日。</w:t>
            </w:r>
          </w:p>
          <w:p w14:paraId="6181FA46">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有效期不足将导致其投标文件被拒绝。</w:t>
            </w:r>
          </w:p>
        </w:tc>
      </w:tr>
      <w:tr w14:paraId="1645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0DC7FA06">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965" w:type="dxa"/>
            <w:vAlign w:val="center"/>
          </w:tcPr>
          <w:p w14:paraId="07AA3EE3">
            <w:pPr>
              <w:spacing w:line="400" w:lineRule="exact"/>
              <w:rPr>
                <w:rFonts w:hint="eastAsia" w:asciiTheme="minorEastAsia" w:hAnsiTheme="minorEastAsia" w:eastAsiaTheme="minorEastAsia" w:cstheme="minorEastAsia"/>
                <w:color w:val="auto"/>
                <w:sz w:val="24"/>
                <w:szCs w:val="24"/>
                <w:highlight w:val="none"/>
              </w:rPr>
            </w:pPr>
          </w:p>
        </w:tc>
        <w:tc>
          <w:tcPr>
            <w:tcW w:w="8432" w:type="dxa"/>
            <w:vAlign w:val="center"/>
          </w:tcPr>
          <w:p w14:paraId="519F72C2">
            <w:pPr>
              <w:spacing w:line="400" w:lineRule="exact"/>
              <w:rPr>
                <w:rFonts w:hint="eastAsia" w:ascii="宋体" w:hAnsi="宋体" w:eastAsia="宋体" w:cs="宋体"/>
                <w:b/>
                <w:sz w:val="24"/>
                <w:szCs w:val="24"/>
                <w:highlight w:val="none"/>
              </w:rPr>
            </w:pPr>
            <w:r>
              <w:rPr>
                <w:rFonts w:hint="eastAsia" w:ascii="宋体" w:hAnsi="宋体" w:eastAsia="宋体" w:cs="宋体"/>
                <w:spacing w:val="-4"/>
                <w:sz w:val="24"/>
                <w:szCs w:val="24"/>
                <w:highlight w:val="none"/>
              </w:rPr>
              <w:t>投标文件递交地址</w:t>
            </w:r>
            <w:r>
              <w:rPr>
                <w:rFonts w:hint="eastAsia" w:ascii="宋体" w:hAnsi="宋体" w:eastAsia="宋体" w:cs="宋体"/>
                <w:spacing w:val="-4"/>
                <w:sz w:val="24"/>
                <w:szCs w:val="24"/>
                <w:highlight w:val="none"/>
                <w:lang w:eastAsia="zh-CN"/>
              </w:rPr>
              <w:t>:</w:t>
            </w:r>
            <w:r>
              <w:rPr>
                <w:rFonts w:hint="eastAsia" w:ascii="宋体" w:hAnsi="宋体" w:eastAsia="宋体" w:cs="宋体"/>
                <w:color w:val="auto"/>
                <w:sz w:val="24"/>
                <w:szCs w:val="24"/>
                <w:lang w:eastAsia="zh-CN"/>
              </w:rPr>
              <w:t>福建省南平市建阳区潭阳大道156号体育中心体育场一层通道2(建阳区阳光招采中心)</w:t>
            </w:r>
            <w:r>
              <w:rPr>
                <w:rFonts w:hint="eastAsia" w:ascii="宋体" w:hAnsi="宋体" w:eastAsia="宋体" w:cs="宋体"/>
                <w:b/>
                <w:bCs/>
                <w:sz w:val="24"/>
                <w:szCs w:val="24"/>
                <w:highlight w:val="none"/>
              </w:rPr>
              <w:t>。</w:t>
            </w:r>
          </w:p>
          <w:p w14:paraId="4D2EF7F1">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接收人</w:t>
            </w:r>
            <w:r>
              <w:rPr>
                <w:rFonts w:hint="eastAsia" w:ascii="宋体" w:hAnsi="宋体" w:eastAsia="宋体" w:cs="宋体"/>
                <w:sz w:val="24"/>
                <w:szCs w:val="24"/>
                <w:highlight w:val="none"/>
                <w:lang w:eastAsia="zh-CN"/>
              </w:rPr>
              <w:t>:</w:t>
            </w:r>
            <w:r>
              <w:rPr>
                <w:rFonts w:hint="eastAsia" w:ascii="宋体" w:hAnsi="宋体" w:cs="宋体"/>
                <w:color w:val="auto"/>
                <w:sz w:val="24"/>
                <w:highlight w:val="none"/>
                <w:lang w:eastAsia="zh-CN"/>
              </w:rPr>
              <w:t>福建鼎御招标有限公司</w:t>
            </w:r>
            <w:r>
              <w:rPr>
                <w:rFonts w:hint="eastAsia" w:ascii="宋体" w:hAnsi="宋体" w:eastAsia="宋体" w:cs="宋体"/>
                <w:sz w:val="24"/>
                <w:szCs w:val="24"/>
                <w:highlight w:val="none"/>
              </w:rPr>
              <w:t>工作人员</w:t>
            </w:r>
          </w:p>
          <w:p w14:paraId="75ECC610">
            <w:pPr>
              <w:spacing w:line="400" w:lineRule="exac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szCs w:val="24"/>
                <w:highlight w:val="none"/>
              </w:rPr>
              <w:t>投标截止时间</w:t>
            </w:r>
            <w:r>
              <w:rPr>
                <w:rFonts w:hint="eastAsia" w:ascii="宋体" w:hAnsi="宋体" w:eastAsia="宋体" w:cs="宋体"/>
                <w:sz w:val="24"/>
                <w:szCs w:val="24"/>
                <w:highlight w:val="none"/>
                <w:lang w:eastAsia="zh-CN"/>
              </w:rPr>
              <w:t>:</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点</w:t>
            </w:r>
            <w:r>
              <w:rPr>
                <w:rFonts w:hint="eastAsia" w:ascii="宋体" w:hAnsi="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cs="宋体"/>
                <w:color w:val="auto"/>
                <w:sz w:val="24"/>
                <w:szCs w:val="24"/>
              </w:rPr>
              <w:t>(北京时间)</w:t>
            </w:r>
          </w:p>
        </w:tc>
      </w:tr>
      <w:tr w14:paraId="4054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0AA17199">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965" w:type="dxa"/>
            <w:vAlign w:val="center"/>
          </w:tcPr>
          <w:p w14:paraId="462A1BD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432" w:type="dxa"/>
            <w:vAlign w:val="center"/>
          </w:tcPr>
          <w:p w14:paraId="462F64D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投标保证金</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保证金金额详见《招标项目一览表》，投标保证金须以公司名义以电汇、转账等非现金形式提交，不直接接受现金、现金存款，以投标截止时间前到达本公司账户为准。投标人未按照招标文件上述要求提交投标保证金的，投标无效。</w:t>
            </w:r>
          </w:p>
          <w:p w14:paraId="70B6DA5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保证金账户</w:t>
            </w:r>
            <w:r>
              <w:rPr>
                <w:rFonts w:hint="eastAsia" w:asciiTheme="minorEastAsia" w:hAnsiTheme="minorEastAsia" w:eastAsiaTheme="minorEastAsia" w:cstheme="minorEastAsia"/>
                <w:b/>
                <w:color w:val="auto"/>
                <w:sz w:val="24"/>
                <w:szCs w:val="24"/>
                <w:highlight w:val="none"/>
                <w:lang w:eastAsia="zh-CN"/>
              </w:rPr>
              <w:t>:</w:t>
            </w:r>
          </w:p>
          <w:p w14:paraId="610B1D14">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开户名</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rPr>
              <w:t>福建鼎御招标有限公司</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w:t>
            </w:r>
          </w:p>
          <w:p w14:paraId="13D25179">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eastAsia="zh-CN"/>
              </w:rPr>
              <w:t>:</w:t>
            </w:r>
            <w:r>
              <w:rPr>
                <w:rFonts w:hint="eastAsia" w:ascii="宋体" w:hAnsi="宋体" w:cs="宋体"/>
                <w:b w:val="0"/>
                <w:bCs w:val="0"/>
                <w:color w:val="auto"/>
                <w:sz w:val="24"/>
              </w:rPr>
              <w:t>兴业银行股份有限公司建阳支行</w:t>
            </w:r>
            <w:r>
              <w:rPr>
                <w:rFonts w:hint="eastAsia" w:ascii="宋体" w:hAnsi="宋体" w:eastAsia="宋体" w:cs="宋体"/>
                <w:sz w:val="24"/>
                <w:szCs w:val="24"/>
                <w:highlight w:val="none"/>
              </w:rPr>
              <w:t xml:space="preserve">   </w:t>
            </w:r>
          </w:p>
          <w:p w14:paraId="7366BA6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eastAsia="zh-CN"/>
              </w:rPr>
              <w:t>:</w:t>
            </w:r>
            <w:r>
              <w:rPr>
                <w:rFonts w:hint="eastAsia" w:ascii="宋体" w:hAnsi="宋体" w:cs="宋体"/>
                <w:b w:val="0"/>
                <w:bCs w:val="0"/>
                <w:color w:val="auto"/>
                <w:sz w:val="24"/>
              </w:rPr>
              <w:t>192020100100325860</w:t>
            </w:r>
          </w:p>
        </w:tc>
      </w:tr>
      <w:tr w14:paraId="1F91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14A47BF7">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965" w:type="dxa"/>
            <w:vAlign w:val="center"/>
          </w:tcPr>
          <w:p w14:paraId="6832FD6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w:t>
            </w:r>
          </w:p>
        </w:tc>
        <w:tc>
          <w:tcPr>
            <w:tcW w:w="8432" w:type="dxa"/>
            <w:vAlign w:val="center"/>
          </w:tcPr>
          <w:p w14:paraId="563D6C3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fldChar w:fldCharType="begin"/>
            </w:r>
            <w:r>
              <w:rPr>
                <w:rFonts w:hint="eastAsia" w:asciiTheme="minorEastAsia" w:hAnsiTheme="minorEastAsia" w:eastAsiaTheme="minorEastAsia" w:cstheme="minorEastAsia"/>
                <w:color w:val="auto"/>
                <w:sz w:val="24"/>
                <w:szCs w:val="24"/>
                <w:highlight w:val="none"/>
                <w:u w:val="none"/>
              </w:rPr>
              <w:instrText xml:space="preserve"> HYPERLINK  \l "评标方法" </w:instrText>
            </w:r>
            <w:r>
              <w:rPr>
                <w:rFonts w:hint="eastAsia" w:asciiTheme="minorEastAsia" w:hAnsiTheme="minorEastAsia" w:eastAsiaTheme="minorEastAsia" w:cstheme="minorEastAsia"/>
                <w:color w:val="auto"/>
                <w:sz w:val="24"/>
                <w:szCs w:val="24"/>
                <w:highlight w:val="none"/>
                <w:u w:val="none"/>
              </w:rPr>
              <w:fldChar w:fldCharType="separate"/>
            </w:r>
            <w:r>
              <w:rPr>
                <w:rStyle w:val="38"/>
                <w:rFonts w:hint="eastAsia" w:asciiTheme="minorEastAsia" w:hAnsiTheme="minorEastAsia" w:eastAsiaTheme="minorEastAsia" w:cstheme="minorEastAsia"/>
                <w:color w:val="auto"/>
                <w:sz w:val="24"/>
                <w:szCs w:val="24"/>
                <w:highlight w:val="none"/>
                <w:u w:val="none"/>
              </w:rPr>
              <w:t>评标标准和方法</w:t>
            </w:r>
            <w:r>
              <w:rPr>
                <w:rFonts w:hint="eastAsia" w:asciiTheme="minorEastAsia" w:hAnsiTheme="minorEastAsia" w:eastAsiaTheme="minorEastAsia" w:cstheme="minorEastAsia"/>
                <w:color w:val="auto"/>
                <w:sz w:val="24"/>
                <w:szCs w:val="24"/>
                <w:highlight w:val="none"/>
                <w:u w:val="none"/>
              </w:rPr>
              <w:fldChar w:fldCharType="end"/>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b/>
                <w:bCs/>
                <w:color w:val="auto"/>
                <w:sz w:val="24"/>
                <w:szCs w:val="24"/>
                <w:highlight w:val="none"/>
              </w:rPr>
              <w:t>采用综合评分法</w:t>
            </w:r>
            <w:r>
              <w:rPr>
                <w:rFonts w:hint="eastAsia" w:asciiTheme="minorEastAsia" w:hAnsiTheme="minorEastAsia" w:eastAsiaTheme="minorEastAsia" w:cstheme="minorEastAsia"/>
                <w:color w:val="auto"/>
                <w:sz w:val="24"/>
                <w:szCs w:val="24"/>
                <w:highlight w:val="none"/>
              </w:rPr>
              <w:t>推荐一名中标候选人，具体评标标准和方法详见本招标文件“19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5具体评标标准和方法”。</w:t>
            </w:r>
          </w:p>
        </w:tc>
      </w:tr>
      <w:tr w14:paraId="572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1FFC94F2">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965" w:type="dxa"/>
            <w:vAlign w:val="center"/>
          </w:tcPr>
          <w:p w14:paraId="11F58BF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p>
        </w:tc>
        <w:tc>
          <w:tcPr>
            <w:tcW w:w="8432" w:type="dxa"/>
            <w:vAlign w:val="center"/>
          </w:tcPr>
          <w:p w14:paraId="73A5D614">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shd w:val="pct10" w:color="auto" w:fill="FFFFFF"/>
              </w:rPr>
            </w:pPr>
            <w:r>
              <w:rPr>
                <w:rFonts w:hint="eastAsia" w:asciiTheme="minorEastAsia" w:hAnsiTheme="minorEastAsia" w:eastAsiaTheme="minorEastAsia" w:cstheme="minorEastAsia"/>
                <w:color w:val="auto"/>
                <w:sz w:val="24"/>
                <w:szCs w:val="24"/>
                <w:highlight w:val="none"/>
              </w:rPr>
              <w:t>投标文件应由投标人的法定代表人或者其授权代表签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并加盖公章，如由后者签名，应提供“法定代表人授权书”。</w:t>
            </w:r>
          </w:p>
        </w:tc>
      </w:tr>
      <w:tr w14:paraId="1842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14D3A3FB">
            <w:pPr>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965" w:type="dxa"/>
            <w:vAlign w:val="center"/>
          </w:tcPr>
          <w:p w14:paraId="36896BA7">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04543466">
            <w:pPr>
              <w:pStyle w:val="17"/>
              <w:keepNext w:val="0"/>
              <w:keepLines w:val="0"/>
              <w:pageBreakBefore w:val="0"/>
              <w:widowControl w:val="0"/>
              <w:tabs>
                <w:tab w:val="left" w:pos="8360"/>
              </w:tabs>
              <w:kinsoku/>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最高限价</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本项目招标人预算价为最高限价，投标人超过最高限价</w:t>
            </w:r>
            <w:r>
              <w:rPr>
                <w:rFonts w:hint="eastAsia" w:asciiTheme="minorEastAsia" w:hAnsiTheme="minorEastAsia" w:eastAsiaTheme="minorEastAsia" w:cstheme="minorEastAsia"/>
                <w:b/>
                <w:color w:val="auto"/>
                <w:sz w:val="24"/>
                <w:szCs w:val="24"/>
                <w:highlight w:val="none"/>
                <w:lang w:eastAsia="zh-CN"/>
              </w:rPr>
              <w:t>、最高单价限价</w:t>
            </w:r>
            <w:r>
              <w:rPr>
                <w:rFonts w:hint="eastAsia" w:asciiTheme="minorEastAsia" w:hAnsiTheme="minorEastAsia" w:eastAsiaTheme="minorEastAsia" w:cstheme="minorEastAsia"/>
                <w:b/>
                <w:color w:val="auto"/>
                <w:sz w:val="24"/>
                <w:szCs w:val="24"/>
                <w:highlight w:val="none"/>
              </w:rPr>
              <w:t>的报价均为无效报价。</w:t>
            </w:r>
          </w:p>
        </w:tc>
      </w:tr>
      <w:tr w14:paraId="32BC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1FD4BA43">
            <w:pPr>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965" w:type="dxa"/>
            <w:vAlign w:val="center"/>
          </w:tcPr>
          <w:p w14:paraId="345B48B1">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7E9E69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保障招标人在使用该货物及相应服务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tc>
      </w:tr>
      <w:tr w14:paraId="204B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02603A75">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p>
        </w:tc>
        <w:tc>
          <w:tcPr>
            <w:tcW w:w="965" w:type="dxa"/>
            <w:vAlign w:val="center"/>
          </w:tcPr>
          <w:p w14:paraId="3DE1A62A">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567350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本次报价采用固定价格方式。投标人所报的价格在合同实施期间保持不变，均不受市场价格及政策性价格的调整而增减。</w:t>
            </w:r>
          </w:p>
        </w:tc>
      </w:tr>
      <w:tr w14:paraId="7AF2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6F6EB5F6">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p>
        </w:tc>
        <w:tc>
          <w:tcPr>
            <w:tcW w:w="965" w:type="dxa"/>
            <w:vAlign w:val="center"/>
          </w:tcPr>
          <w:p w14:paraId="10913ED1">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330AEB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投标人应如实详细填写《技术和服务要求响应表》。投标人应将技术参数逐条详细列在《技术和服务要求响应表》中，若出现遗漏的则视为不满足招标文件要求，由此造成的后果由投标人自行承担。</w:t>
            </w:r>
          </w:p>
        </w:tc>
      </w:tr>
      <w:tr w14:paraId="452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247E0A6A">
            <w:pPr>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965" w:type="dxa"/>
            <w:vAlign w:val="center"/>
          </w:tcPr>
          <w:p w14:paraId="31066173">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3EC6EB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线下</w:t>
            </w:r>
            <w:r>
              <w:rPr>
                <w:rFonts w:hint="eastAsia" w:asciiTheme="minorEastAsia" w:hAnsiTheme="minorEastAsia" w:eastAsiaTheme="minorEastAsia" w:cstheme="minorEastAsia"/>
                <w:b/>
                <w:color w:val="auto"/>
                <w:sz w:val="24"/>
                <w:szCs w:val="24"/>
                <w:highlight w:val="none"/>
                <w:lang w:val="en-US" w:eastAsia="zh-CN"/>
              </w:rPr>
              <w:t>场地使用</w:t>
            </w:r>
            <w:r>
              <w:rPr>
                <w:rFonts w:hint="eastAsia" w:asciiTheme="minorEastAsia" w:hAnsiTheme="minorEastAsia" w:eastAsiaTheme="minorEastAsia" w:cstheme="minorEastAsia"/>
                <w:b/>
                <w:color w:val="auto"/>
                <w:sz w:val="24"/>
                <w:szCs w:val="24"/>
                <w:highlight w:val="none"/>
                <w:lang w:eastAsia="zh-CN"/>
              </w:rPr>
              <w:t>费：</w:t>
            </w:r>
          </w:p>
          <w:p w14:paraId="45A84115">
            <w:pPr>
              <w:pStyle w:val="2"/>
              <w:numPr>
                <w:ilvl w:val="0"/>
                <w:numId w:val="3"/>
              </w:num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本项目场地使用费由中标人支付。</w:t>
            </w:r>
          </w:p>
          <w:p w14:paraId="37E1C6B2">
            <w:pPr>
              <w:pStyle w:val="2"/>
              <w:numPr>
                <w:ilvl w:val="0"/>
                <w:numId w:val="0"/>
              </w:numP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２、中标人</w:t>
            </w:r>
            <w:r>
              <w:rPr>
                <w:rFonts w:hint="eastAsia" w:asciiTheme="minorEastAsia" w:hAnsiTheme="minorEastAsia" w:eastAsiaTheme="minorEastAsia" w:cstheme="minorEastAsia"/>
                <w:b/>
                <w:color w:val="auto"/>
                <w:sz w:val="24"/>
                <w:szCs w:val="24"/>
                <w:highlight w:val="none"/>
                <w:lang w:eastAsia="zh-CN"/>
              </w:rPr>
              <w:t>依据南平市建阳区人民政府专题会议纪要</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2023</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87号文规定向南平大武夷智慧文旅有限公司(阳光招采平台)缴纳平台线下</w:t>
            </w:r>
            <w:r>
              <w:rPr>
                <w:rFonts w:hint="eastAsia" w:asciiTheme="minorEastAsia" w:hAnsiTheme="minorEastAsia" w:eastAsiaTheme="minorEastAsia" w:cstheme="minorEastAsia"/>
                <w:b/>
                <w:color w:val="auto"/>
                <w:sz w:val="24"/>
                <w:szCs w:val="24"/>
                <w:highlight w:val="none"/>
                <w:lang w:val="en-US" w:eastAsia="zh-CN"/>
              </w:rPr>
              <w:t>场地使用</w:t>
            </w:r>
            <w:r>
              <w:rPr>
                <w:rFonts w:hint="eastAsia" w:asciiTheme="minorEastAsia" w:hAnsiTheme="minorEastAsia" w:eastAsiaTheme="minorEastAsia" w:cstheme="minorEastAsia"/>
                <w:b/>
                <w:color w:val="auto"/>
                <w:sz w:val="24"/>
                <w:szCs w:val="24"/>
                <w:highlight w:val="none"/>
                <w:lang w:eastAsia="zh-CN"/>
              </w:rPr>
              <w:t>费(收费基数按中标价，200万元以上1000元(包含200万)，200万元以下800元)。中标人缴存交易费都必须从企业基本户转账，不支持现金。中标人如未能按以上规定交费，</w:t>
            </w:r>
            <w:r>
              <w:rPr>
                <w:rFonts w:hint="eastAsia" w:asciiTheme="minorEastAsia" w:hAnsiTheme="minorEastAsia" w:eastAsiaTheme="minorEastAsia" w:cstheme="minorEastAsia"/>
                <w:b/>
                <w:color w:val="auto"/>
                <w:sz w:val="24"/>
                <w:szCs w:val="24"/>
                <w:highlight w:val="none"/>
                <w:lang w:val="en-US" w:eastAsia="zh-CN"/>
              </w:rPr>
              <w:t>采购</w:t>
            </w:r>
            <w:r>
              <w:rPr>
                <w:rFonts w:hint="eastAsia" w:asciiTheme="minorEastAsia" w:hAnsiTheme="minorEastAsia" w:eastAsiaTheme="minorEastAsia" w:cstheme="minorEastAsia"/>
                <w:b/>
                <w:color w:val="auto"/>
                <w:sz w:val="24"/>
                <w:szCs w:val="24"/>
                <w:highlight w:val="none"/>
                <w:lang w:eastAsia="zh-CN"/>
              </w:rPr>
              <w:t>人将在</w:t>
            </w:r>
            <w:r>
              <w:rPr>
                <w:rFonts w:hint="eastAsia" w:asciiTheme="minorEastAsia" w:hAnsiTheme="minorEastAsia" w:eastAsiaTheme="minorEastAsia" w:cstheme="minorEastAsia"/>
                <w:b/>
                <w:color w:val="auto"/>
                <w:sz w:val="24"/>
                <w:szCs w:val="24"/>
                <w:highlight w:val="none"/>
                <w:lang w:val="en-US" w:eastAsia="zh-CN"/>
              </w:rPr>
              <w:t>采购</w:t>
            </w:r>
            <w:r>
              <w:rPr>
                <w:rFonts w:hint="eastAsia" w:asciiTheme="minorEastAsia" w:hAnsiTheme="minorEastAsia" w:eastAsiaTheme="minorEastAsia" w:cstheme="minorEastAsia"/>
                <w:b/>
                <w:color w:val="auto"/>
                <w:sz w:val="24"/>
                <w:szCs w:val="24"/>
                <w:highlight w:val="none"/>
                <w:lang w:eastAsia="zh-CN"/>
              </w:rPr>
              <w:t>人支付给</w:t>
            </w:r>
            <w:r>
              <w:rPr>
                <w:rFonts w:hint="eastAsia" w:asciiTheme="minorEastAsia" w:hAnsiTheme="minorEastAsia" w:eastAsiaTheme="minorEastAsia" w:cstheme="minorEastAsia"/>
                <w:b/>
                <w:color w:val="auto"/>
                <w:sz w:val="24"/>
                <w:szCs w:val="24"/>
                <w:highlight w:val="none"/>
                <w:lang w:val="en-US" w:eastAsia="zh-CN"/>
              </w:rPr>
              <w:t>中标</w:t>
            </w:r>
            <w:r>
              <w:rPr>
                <w:rFonts w:hint="eastAsia" w:asciiTheme="minorEastAsia" w:hAnsiTheme="minorEastAsia" w:eastAsiaTheme="minorEastAsia" w:cstheme="minorEastAsia"/>
                <w:b/>
                <w:color w:val="auto"/>
                <w:sz w:val="24"/>
                <w:szCs w:val="24"/>
                <w:highlight w:val="none"/>
                <w:lang w:eastAsia="zh-CN"/>
              </w:rPr>
              <w:t>人的合同价款中扣缴。)</w:t>
            </w:r>
          </w:p>
          <w:p w14:paraId="7A843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南平大武夷智慧文旅有限公司(阳光招采平台)</w:t>
            </w:r>
          </w:p>
          <w:p w14:paraId="3B0882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缴款账号:开户银行:工行南平建阳水南支行</w:t>
            </w:r>
          </w:p>
          <w:p w14:paraId="4C03E1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开户名称:南平大武夷智慧文旅有限公司</w:t>
            </w:r>
          </w:p>
          <w:p w14:paraId="264853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Theme="minorEastAsia" w:hAnsiTheme="minorEastAsia" w:eastAsiaTheme="minorEastAsia" w:cstheme="minorEastAsia"/>
                <w:b/>
                <w:color w:val="auto"/>
                <w:sz w:val="24"/>
                <w:szCs w:val="24"/>
                <w:highlight w:val="none"/>
              </w:rPr>
              <w:t>银行帐号:1406 6202 1900 0029 772。</w:t>
            </w:r>
          </w:p>
        </w:tc>
      </w:tr>
      <w:tr w14:paraId="7255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5E6E5CFE">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p>
        </w:tc>
        <w:tc>
          <w:tcPr>
            <w:tcW w:w="965" w:type="dxa"/>
            <w:vAlign w:val="center"/>
          </w:tcPr>
          <w:p w14:paraId="3EC71591">
            <w:pPr>
              <w:spacing w:line="400" w:lineRule="exact"/>
              <w:jc w:val="center"/>
              <w:rPr>
                <w:rFonts w:hint="eastAsia" w:asciiTheme="minorEastAsia" w:hAnsiTheme="minorEastAsia" w:eastAsiaTheme="minorEastAsia" w:cstheme="minorEastAsia"/>
                <w:b/>
                <w:color w:val="auto"/>
                <w:sz w:val="24"/>
                <w:szCs w:val="24"/>
                <w:highlight w:val="none"/>
              </w:rPr>
            </w:pPr>
          </w:p>
        </w:tc>
        <w:tc>
          <w:tcPr>
            <w:tcW w:w="8432" w:type="dxa"/>
            <w:vAlign w:val="center"/>
          </w:tcPr>
          <w:p w14:paraId="592E567F">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w:t>
            </w:r>
          </w:p>
          <w:p w14:paraId="32439F25">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cs="宋体"/>
                <w:color w:val="auto"/>
                <w:szCs w:val="24"/>
                <w:highlight w:val="none"/>
                <w:lang w:eastAsia="zh-CN"/>
              </w:rPr>
              <w:t>、</w:t>
            </w:r>
            <w:r>
              <w:rPr>
                <w:rFonts w:hint="eastAsia" w:ascii="宋体" w:hAnsi="宋体" w:eastAsia="宋体" w:cs="宋体"/>
                <w:color w:val="auto"/>
                <w:szCs w:val="24"/>
                <w:highlight w:val="none"/>
              </w:rPr>
              <w:t>本项目的招标代理服务费(中标服务费)向</w:t>
            </w:r>
            <w:r>
              <w:rPr>
                <w:rFonts w:hint="eastAsia" w:ascii="宋体" w:hAnsi="宋体" w:eastAsia="宋体" w:cs="宋体"/>
                <w:b/>
                <w:bCs/>
                <w:color w:val="auto"/>
                <w:szCs w:val="24"/>
                <w:highlight w:val="none"/>
              </w:rPr>
              <w:t>中标人</w:t>
            </w:r>
            <w:r>
              <w:rPr>
                <w:rFonts w:hint="eastAsia" w:ascii="宋体" w:hAnsi="宋体" w:eastAsia="宋体" w:cs="宋体"/>
                <w:color w:val="auto"/>
                <w:szCs w:val="24"/>
                <w:highlight w:val="none"/>
              </w:rPr>
              <w:t xml:space="preserve">收取,中标人应按差额定率累进法计算,向招标代理机构交纳招标代理服务费(中标服务费)。 </w:t>
            </w:r>
          </w:p>
          <w:p w14:paraId="6BAEFA8E">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(1)以中标通知书规定的中标金额作为收费的计算基数。</w:t>
            </w:r>
          </w:p>
          <w:p w14:paraId="74D9365E">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(2)招标代理服务收费的标准:</w:t>
            </w:r>
            <w:r>
              <w:rPr>
                <w:rFonts w:hint="eastAsia" w:ascii="宋体" w:hAnsi="宋体" w:eastAsia="宋体" w:cs="宋体"/>
                <w:color w:val="auto"/>
                <w:sz w:val="24"/>
                <w:szCs w:val="24"/>
              </w:rPr>
              <w:t>以中标通知书载明的中标金额作为收费的计算基数，按差额定率累进法计算收取，100万元（含）以下费率1.5%的标准收取；100万元以上-500万元费率0.8%的标准收取；</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00万元以上-</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00万元费率0.</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%的标准收取；100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万元以上-500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万元费率0.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%的标准收取。</w:t>
            </w:r>
          </w:p>
          <w:p w14:paraId="2C64EC20">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cs="宋体"/>
                <w:color w:val="auto"/>
                <w:szCs w:val="24"/>
                <w:highlight w:val="none"/>
                <w:lang w:eastAsia="zh-CN"/>
              </w:rPr>
              <w:t>、</w:t>
            </w:r>
            <w:r>
              <w:rPr>
                <w:rFonts w:hint="eastAsia" w:ascii="宋体" w:hAnsi="宋体" w:eastAsia="宋体" w:cs="宋体"/>
                <w:color w:val="auto"/>
                <w:szCs w:val="24"/>
                <w:highlight w:val="none"/>
              </w:rPr>
              <w:t>招标代理服务费的交纳方式</w:t>
            </w:r>
            <w:r>
              <w:rPr>
                <w:rFonts w:hint="eastAsia" w:cs="宋体"/>
                <w:color w:val="auto"/>
                <w:szCs w:val="24"/>
                <w:highlight w:val="none"/>
                <w:lang w:eastAsia="zh-CN"/>
              </w:rPr>
              <w:t>:</w:t>
            </w:r>
          </w:p>
          <w:p w14:paraId="2D1C379E">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(1)中标人在递交投标文件的同时，向招标代理机构递交招标代理服务费承诺书。</w:t>
            </w:r>
          </w:p>
          <w:p w14:paraId="1DE28B9C">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(2)中标人应在领取中标通知书的同时按规定的标准一次性向招标代理机构缴清招标代理服务费。</w:t>
            </w:r>
          </w:p>
          <w:p w14:paraId="3F28ED42">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(3)招标代理服务费以银行转账、电汇、汇票或现金等付款方式。</w:t>
            </w:r>
          </w:p>
          <w:p w14:paraId="46C04683">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w:t>
            </w:r>
            <w:r>
              <w:rPr>
                <w:rFonts w:hint="eastAsia" w:cs="宋体"/>
                <w:color w:val="auto"/>
                <w:szCs w:val="24"/>
                <w:highlight w:val="none"/>
                <w:lang w:eastAsia="zh-CN"/>
              </w:rPr>
              <w:t>、</w:t>
            </w:r>
            <w:r>
              <w:rPr>
                <w:rFonts w:hint="eastAsia" w:ascii="宋体" w:hAnsi="宋体" w:eastAsia="宋体" w:cs="宋体"/>
                <w:color w:val="auto"/>
                <w:szCs w:val="24"/>
                <w:highlight w:val="none"/>
              </w:rPr>
              <w:t>招标代理服务费缴交银行</w:t>
            </w:r>
            <w:r>
              <w:rPr>
                <w:rFonts w:hint="eastAsia" w:cs="宋体"/>
                <w:color w:val="auto"/>
                <w:szCs w:val="24"/>
                <w:highlight w:val="none"/>
                <w:lang w:val="en-US" w:eastAsia="zh-CN"/>
              </w:rPr>
              <w:t>账</w:t>
            </w:r>
            <w:r>
              <w:rPr>
                <w:rFonts w:hint="eastAsia" w:ascii="宋体" w:hAnsi="宋体" w:eastAsia="宋体" w:cs="宋体"/>
                <w:color w:val="auto"/>
                <w:szCs w:val="24"/>
                <w:highlight w:val="none"/>
              </w:rPr>
              <w:t>号</w:t>
            </w:r>
            <w:r>
              <w:rPr>
                <w:rFonts w:hint="eastAsia" w:cs="宋体"/>
                <w:color w:val="auto"/>
                <w:szCs w:val="24"/>
                <w:highlight w:val="none"/>
                <w:lang w:eastAsia="zh-CN"/>
              </w:rPr>
              <w:t>:</w:t>
            </w:r>
          </w:p>
          <w:p w14:paraId="790F3CF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rPr>
              <w:t>福建鼎御招标有限公司</w:t>
            </w:r>
            <w:r>
              <w:rPr>
                <w:rFonts w:hint="eastAsia" w:ascii="宋体" w:hAnsi="宋体" w:eastAsia="宋体" w:cs="宋体"/>
                <w:color w:val="auto"/>
                <w:sz w:val="24"/>
                <w:szCs w:val="24"/>
                <w:highlight w:val="none"/>
                <w:u w:val="none"/>
              </w:rPr>
              <w:t xml:space="preserve">       </w:t>
            </w:r>
          </w:p>
          <w:p w14:paraId="0BA27FD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w:t>
            </w:r>
            <w:r>
              <w:rPr>
                <w:rFonts w:hint="eastAsia" w:ascii="宋体" w:hAnsi="宋体" w:eastAsia="宋体" w:cs="宋体"/>
                <w:color w:val="auto"/>
                <w:sz w:val="24"/>
                <w:szCs w:val="24"/>
                <w:highlight w:val="none"/>
                <w:u w:val="none"/>
                <w:lang w:eastAsia="zh-CN"/>
              </w:rPr>
              <w:t>:</w:t>
            </w:r>
            <w:r>
              <w:rPr>
                <w:rFonts w:hint="eastAsia" w:ascii="宋体" w:hAnsi="宋体" w:cs="宋体"/>
                <w:b w:val="0"/>
                <w:bCs w:val="0"/>
                <w:color w:val="auto"/>
                <w:sz w:val="24"/>
              </w:rPr>
              <w:t>兴业银行股份有限公司建阳支行</w:t>
            </w:r>
            <w:r>
              <w:rPr>
                <w:rFonts w:hint="eastAsia" w:ascii="宋体" w:hAnsi="宋体" w:eastAsia="宋体" w:cs="宋体"/>
                <w:color w:val="auto"/>
                <w:sz w:val="24"/>
                <w:szCs w:val="24"/>
                <w:highlight w:val="none"/>
                <w:u w:val="none"/>
              </w:rPr>
              <w:t xml:space="preserve">   </w:t>
            </w:r>
          </w:p>
          <w:p w14:paraId="31DC9317">
            <w:pPr>
              <w:pStyle w:val="31"/>
              <w:keepNext w:val="0"/>
              <w:keepLines w:val="0"/>
              <w:pageBreakBefore w:val="0"/>
              <w:widowControl w:val="0"/>
              <w:kinsoku/>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color w:val="auto"/>
                <w:szCs w:val="24"/>
                <w:highlight w:val="none"/>
              </w:rPr>
            </w:pPr>
            <w:r>
              <w:rPr>
                <w:rFonts w:hint="eastAsia" w:ascii="宋体" w:hAnsi="宋体" w:eastAsia="宋体" w:cs="宋体"/>
                <w:color w:val="auto"/>
                <w:sz w:val="24"/>
                <w:szCs w:val="24"/>
                <w:highlight w:val="none"/>
                <w:u w:val="none"/>
              </w:rPr>
              <w:t>账  号</w:t>
            </w:r>
            <w:r>
              <w:rPr>
                <w:rFonts w:hint="eastAsia" w:ascii="宋体" w:hAnsi="宋体" w:eastAsia="宋体" w:cs="宋体"/>
                <w:color w:val="auto"/>
                <w:sz w:val="24"/>
                <w:szCs w:val="24"/>
                <w:highlight w:val="none"/>
                <w:u w:val="none"/>
                <w:lang w:eastAsia="zh-CN"/>
              </w:rPr>
              <w:t>:</w:t>
            </w:r>
            <w:r>
              <w:rPr>
                <w:rFonts w:hint="eastAsia" w:ascii="宋体" w:hAnsi="宋体" w:cs="宋体"/>
                <w:b w:val="0"/>
                <w:bCs w:val="0"/>
                <w:color w:val="auto"/>
                <w:sz w:val="24"/>
              </w:rPr>
              <w:t>192020100100325860</w:t>
            </w:r>
          </w:p>
        </w:tc>
      </w:tr>
      <w:tr w14:paraId="4A94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4C25BAB6">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p>
        </w:tc>
        <w:tc>
          <w:tcPr>
            <w:tcW w:w="965" w:type="dxa"/>
            <w:vAlign w:val="center"/>
          </w:tcPr>
          <w:p w14:paraId="0E5ECA8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关于串通投标认定与处理</w:t>
            </w:r>
          </w:p>
        </w:tc>
        <w:tc>
          <w:tcPr>
            <w:tcW w:w="8432" w:type="dxa"/>
            <w:vAlign w:val="center"/>
          </w:tcPr>
          <w:p w14:paraId="1B4DCB9A">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关于串通投标处理:</w:t>
            </w:r>
          </w:p>
          <w:p w14:paraId="04D23778">
            <w:pPr>
              <w:wordWrap w:val="0"/>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评标委员会在评标过程中发现投标人存在下列情形之一的，可认定其有串通投标行为，并做出其投标无效的决定</w:t>
            </w:r>
            <w:r>
              <w:rPr>
                <w:rFonts w:hint="eastAsia" w:asciiTheme="minorEastAsia" w:hAnsiTheme="minorEastAsia" w:eastAsiaTheme="minorEastAsia" w:cstheme="minorEastAsia"/>
                <w:color w:val="auto"/>
                <w:sz w:val="24"/>
                <w:szCs w:val="24"/>
                <w:highlight w:val="none"/>
                <w:lang w:eastAsia="zh-CN"/>
              </w:rPr>
              <w:t>:</w:t>
            </w:r>
          </w:p>
          <w:p w14:paraId="6F119A24">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①不同投标人的投标文件由同一单位或个人编写。</w:t>
            </w:r>
          </w:p>
          <w:p w14:paraId="0DCA740A">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②不同投标人委托同一单位或个人办理投标手续。</w:t>
            </w:r>
          </w:p>
          <w:p w14:paraId="467BA12B">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③不同投标人的投标文件载明的项目管理成员为同一人。</w:t>
            </w:r>
          </w:p>
          <w:p w14:paraId="5FDBE7E6">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④不同投标人的投标文件异常一致或者投标报价呈规律性差异。</w:t>
            </w:r>
          </w:p>
          <w:p w14:paraId="47CAD99B">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⑤不同投标人的投标文件相互混装。</w:t>
            </w:r>
          </w:p>
          <w:p w14:paraId="058BEE73">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⑥不同投标人的投标保证金从同一单位或个人的账户转出。</w:t>
            </w:r>
          </w:p>
          <w:p w14:paraId="177F3B5D">
            <w:pPr>
              <w:wordWrap w:val="0"/>
              <w:spacing w:line="400" w:lineRule="exac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⑦有关法律、法规或规章规定的其他串通投标行为。</w:t>
            </w:r>
          </w:p>
        </w:tc>
      </w:tr>
      <w:tr w14:paraId="2B70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0780E597">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p>
        </w:tc>
        <w:tc>
          <w:tcPr>
            <w:tcW w:w="965" w:type="dxa"/>
            <w:vAlign w:val="center"/>
          </w:tcPr>
          <w:p w14:paraId="42C6C268">
            <w:pPr>
              <w:spacing w:line="400" w:lineRule="exact"/>
              <w:jc w:val="center"/>
              <w:rPr>
                <w:rFonts w:hint="eastAsia" w:asciiTheme="minorEastAsia" w:hAnsiTheme="minorEastAsia" w:eastAsiaTheme="minorEastAsia" w:cstheme="minorEastAsia"/>
                <w:b/>
                <w:color w:val="auto"/>
                <w:sz w:val="24"/>
                <w:szCs w:val="24"/>
                <w:highlight w:val="none"/>
              </w:rPr>
            </w:pPr>
          </w:p>
        </w:tc>
        <w:tc>
          <w:tcPr>
            <w:tcW w:w="8432" w:type="dxa"/>
            <w:vAlign w:val="center"/>
          </w:tcPr>
          <w:p w14:paraId="625DF989">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废标条款</w:t>
            </w:r>
            <w:r>
              <w:rPr>
                <w:rFonts w:hint="eastAsia" w:asciiTheme="minorEastAsia" w:hAnsiTheme="minorEastAsia" w:eastAsiaTheme="minorEastAsia" w:cstheme="minorEastAsia"/>
                <w:b/>
                <w:color w:val="auto"/>
                <w:sz w:val="24"/>
                <w:szCs w:val="24"/>
                <w:highlight w:val="none"/>
                <w:lang w:eastAsia="zh-CN"/>
              </w:rPr>
              <w:t>:</w:t>
            </w:r>
          </w:p>
          <w:p w14:paraId="5F7D4980">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(一)符</w:t>
            </w:r>
            <w:r>
              <w:rPr>
                <w:rFonts w:hint="eastAsia" w:asciiTheme="minorEastAsia" w:hAnsiTheme="minorEastAsia" w:eastAsiaTheme="minorEastAsia" w:cstheme="minorEastAsia"/>
                <w:color w:val="auto"/>
                <w:sz w:val="24"/>
                <w:szCs w:val="24"/>
                <w:highlight w:val="none"/>
              </w:rPr>
              <w:t xml:space="preserve">合专业条件的供应商或者对招标文件作实质响应的供应商不足三家的； </w:t>
            </w:r>
          </w:p>
          <w:p w14:paraId="257F033C">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(二)出现影响采购公正的违法、违规行为的； </w:t>
            </w:r>
          </w:p>
          <w:p w14:paraId="3BA6EC5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(三)投标人的报价均超过了采购预算，招标人不能支付的；</w:t>
            </w:r>
          </w:p>
          <w:p w14:paraId="552B2458">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(四)因重</w:t>
            </w:r>
            <w:r>
              <w:rPr>
                <w:rFonts w:hint="eastAsia" w:asciiTheme="minorEastAsia" w:hAnsiTheme="minorEastAsia" w:eastAsiaTheme="minorEastAsia" w:cstheme="minorEastAsia"/>
                <w:bCs/>
                <w:color w:val="auto"/>
                <w:sz w:val="24"/>
                <w:szCs w:val="24"/>
                <w:highlight w:val="none"/>
              </w:rPr>
              <w:t>大变故，采购任务取消的。</w:t>
            </w:r>
          </w:p>
        </w:tc>
      </w:tr>
      <w:tr w14:paraId="0207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46B49563">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p>
        </w:tc>
        <w:tc>
          <w:tcPr>
            <w:tcW w:w="965" w:type="dxa"/>
            <w:vAlign w:val="center"/>
          </w:tcPr>
          <w:p w14:paraId="13E2FCBB">
            <w:pPr>
              <w:spacing w:line="400" w:lineRule="exact"/>
              <w:jc w:val="center"/>
              <w:rPr>
                <w:rFonts w:hint="eastAsia" w:asciiTheme="minorEastAsia" w:hAnsiTheme="minorEastAsia" w:eastAsiaTheme="minorEastAsia" w:cstheme="minorEastAsia"/>
                <w:b/>
                <w:color w:val="auto"/>
                <w:sz w:val="24"/>
                <w:szCs w:val="24"/>
                <w:highlight w:val="none"/>
              </w:rPr>
            </w:pPr>
          </w:p>
        </w:tc>
        <w:tc>
          <w:tcPr>
            <w:tcW w:w="8432" w:type="dxa"/>
            <w:vAlign w:val="center"/>
          </w:tcPr>
          <w:p w14:paraId="43001971">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重大偏差与细微偏差</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以下为重大偏差与细微偏差的条款，请各投标人认真审阅。</w:t>
            </w:r>
          </w:p>
          <w:p w14:paraId="41E605C5">
            <w:pPr>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(一)重大偏差</w:t>
            </w:r>
            <w:r>
              <w:rPr>
                <w:rFonts w:hint="eastAsia" w:asciiTheme="minorEastAsia" w:hAnsiTheme="minorEastAsia" w:eastAsiaTheme="minorEastAsia" w:cstheme="minorEastAsia"/>
                <w:b/>
                <w:color w:val="auto"/>
                <w:sz w:val="24"/>
                <w:szCs w:val="24"/>
                <w:highlight w:val="none"/>
                <w:lang w:eastAsia="zh-CN"/>
              </w:rPr>
              <w:t>:</w:t>
            </w:r>
          </w:p>
          <w:p w14:paraId="46053F8A">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投标文件未按招标文件要求加盖公章并由法定代表人或其书面授权的代理人签字的；</w:t>
            </w:r>
          </w:p>
          <w:p w14:paraId="7FC154A4">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以联合体形式投标的；</w:t>
            </w:r>
          </w:p>
          <w:p w14:paraId="30662EE4">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投标文件载明的招标项目完成期限超过招标文件规定的；</w:t>
            </w:r>
          </w:p>
          <w:p w14:paraId="3A6C2AA5">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明显不符合技术规格、技术标准的要求；</w:t>
            </w:r>
          </w:p>
          <w:p w14:paraId="371F727E">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投标文件载明的货物包装方式、检验标准和方法等不符合招标文件的要求；</w:t>
            </w:r>
          </w:p>
          <w:p w14:paraId="46E86284">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投标文件中附有招标人不能接受的条件；</w:t>
            </w:r>
          </w:p>
          <w:p w14:paraId="454C94B0">
            <w:pPr>
              <w:numPr>
                <w:ilvl w:val="0"/>
                <w:numId w:val="0"/>
              </w:numPr>
              <w:spacing w:line="400" w:lineRule="exact"/>
              <w:ind w:left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不符合招标文件中规定的其他实质性条款</w:t>
            </w:r>
            <w:r>
              <w:rPr>
                <w:rFonts w:hint="eastAsia" w:asciiTheme="minorEastAsia" w:hAnsiTheme="minorEastAsia" w:eastAsiaTheme="minorEastAsia" w:cstheme="minorEastAsia"/>
                <w:color w:val="auto"/>
                <w:sz w:val="24"/>
                <w:szCs w:val="24"/>
                <w:highlight w:val="none"/>
                <w:lang w:eastAsia="zh-CN"/>
              </w:rPr>
              <w:t>。</w:t>
            </w:r>
          </w:p>
          <w:p w14:paraId="4B996959">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投标人的投标文件若有上述情形之一的，认定为未对招标文件作出实质性响应，</w:t>
            </w:r>
            <w:r>
              <w:rPr>
                <w:rFonts w:hint="eastAsia" w:asciiTheme="minorEastAsia" w:hAnsiTheme="minorEastAsia" w:eastAsiaTheme="minorEastAsia" w:cstheme="minorEastAsia"/>
                <w:b/>
                <w:color w:val="auto"/>
                <w:sz w:val="24"/>
                <w:szCs w:val="24"/>
                <w:highlight w:val="none"/>
                <w:lang w:val="en-US" w:eastAsia="zh-CN"/>
              </w:rPr>
              <w:t>按</w:t>
            </w:r>
            <w:r>
              <w:rPr>
                <w:rFonts w:hint="eastAsia" w:asciiTheme="minorEastAsia" w:hAnsiTheme="minorEastAsia" w:eastAsiaTheme="minorEastAsia" w:cstheme="minorEastAsia"/>
                <w:b/>
                <w:color w:val="auto"/>
                <w:sz w:val="24"/>
                <w:szCs w:val="24"/>
                <w:highlight w:val="none"/>
              </w:rPr>
              <w:t>无效投标处理。</w:t>
            </w:r>
          </w:p>
          <w:p w14:paraId="1451A70A">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(二)细微偏差</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1DB913A4">
            <w:pPr>
              <w:spacing w:line="40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评标委员会应当书面要求存在细微偏差的投标人在评标结束前予以补正。补正的程序和方法按照招标文件第二章投标人须知第18条的规定执行。无法补正的，可在评审时对细微偏差作不利于该投标人的认定。</w:t>
            </w:r>
          </w:p>
          <w:p w14:paraId="36081D9D">
            <w:pPr>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评标委员会判定重大偏差、细微偏差是依据投标文件，而不寻求其他的外部证据。</w:t>
            </w:r>
          </w:p>
        </w:tc>
      </w:tr>
      <w:tr w14:paraId="5ADB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67DDBFCE">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p>
        </w:tc>
        <w:tc>
          <w:tcPr>
            <w:tcW w:w="965" w:type="dxa"/>
            <w:vAlign w:val="center"/>
          </w:tcPr>
          <w:p w14:paraId="5255B325">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8432" w:type="dxa"/>
            <w:vAlign w:val="center"/>
          </w:tcPr>
          <w:p w14:paraId="3F89B50A">
            <w:pPr>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招标项目监督部门</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南平武夷文旅研究院有限公司</w:t>
            </w:r>
            <w:r>
              <w:rPr>
                <w:rFonts w:hint="eastAsia" w:ascii="宋体" w:hAnsi="宋体" w:eastAsia="宋体" w:cs="宋体"/>
                <w:b/>
                <w:sz w:val="24"/>
                <w:szCs w:val="24"/>
                <w:highlight w:val="none"/>
              </w:rPr>
              <w:t>监督部门</w:t>
            </w:r>
            <w:r>
              <w:rPr>
                <w:rFonts w:hint="eastAsia" w:asciiTheme="minorEastAsia" w:hAnsiTheme="minorEastAsia" w:eastAsiaTheme="minorEastAsia" w:cstheme="minorEastAsia"/>
                <w:b/>
                <w:color w:val="auto"/>
                <w:sz w:val="24"/>
                <w:szCs w:val="24"/>
                <w:highlight w:val="none"/>
                <w:lang w:val="zh-CN"/>
              </w:rPr>
              <w:t>。</w:t>
            </w:r>
          </w:p>
        </w:tc>
      </w:tr>
      <w:tr w14:paraId="2045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4B34EA74">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965" w:type="dxa"/>
            <w:vAlign w:val="center"/>
          </w:tcPr>
          <w:p w14:paraId="03F9287E">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357D8792">
            <w:pPr>
              <w:spacing w:line="400" w:lineRule="exact"/>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18.1</w:t>
            </w:r>
            <w:r>
              <w:rPr>
                <w:rFonts w:hint="eastAsia" w:asciiTheme="minorEastAsia" w:hAnsiTheme="minorEastAsia" w:eastAsiaTheme="minorEastAsia" w:cstheme="minorEastAsia"/>
                <w:b w:val="0"/>
                <w:bCs/>
                <w:color w:val="auto"/>
                <w:sz w:val="24"/>
                <w:szCs w:val="24"/>
                <w:highlight w:val="none"/>
              </w:rPr>
              <w:t>项目咨询及其他</w:t>
            </w:r>
            <w:r>
              <w:rPr>
                <w:rFonts w:hint="eastAsia" w:asciiTheme="minorEastAsia" w:hAnsiTheme="minorEastAsia" w:eastAsiaTheme="minorEastAsia" w:cstheme="minorEastAsia"/>
                <w:b w:val="0"/>
                <w:bCs/>
                <w:color w:val="auto"/>
                <w:sz w:val="24"/>
                <w:szCs w:val="24"/>
                <w:highlight w:val="none"/>
                <w:lang w:eastAsia="zh-CN"/>
              </w:rPr>
              <w:t>:</w:t>
            </w:r>
          </w:p>
          <w:p w14:paraId="59FCD263">
            <w:pPr>
              <w:spacing w:line="40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投标人为了解更多的项目基础资料和背景，可以与本项目的招标人进行项目咨询和交流，避免在投标时因理解不清而影响今后项目的实施。</w:t>
            </w:r>
          </w:p>
        </w:tc>
      </w:tr>
      <w:tr w14:paraId="79A6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7" w:type="dxa"/>
            <w:vAlign w:val="center"/>
          </w:tcPr>
          <w:p w14:paraId="0E81E49E">
            <w:pPr>
              <w:spacing w:line="400" w:lineRule="exact"/>
              <w:jc w:val="center"/>
              <w:rPr>
                <w:rFonts w:hint="default" w:asciiTheme="minorEastAsia" w:hAnsiTheme="minorEastAsia" w:eastAsiaTheme="minorEastAsia" w:cstheme="minorEastAsia"/>
                <w:color w:val="auto"/>
                <w:sz w:val="24"/>
                <w:szCs w:val="24"/>
                <w:highlight w:val="none"/>
                <w:lang w:val="en-US"/>
              </w:rPr>
            </w:pPr>
            <w:r>
              <w:rPr>
                <w:rFonts w:hint="eastAsia" w:ascii="宋体" w:hAnsi="宋体" w:cs="宋体"/>
                <w:sz w:val="24"/>
                <w:szCs w:val="24"/>
                <w:highlight w:val="none"/>
                <w:lang w:val="en-US" w:eastAsia="zh-CN"/>
              </w:rPr>
              <w:t>19</w:t>
            </w:r>
          </w:p>
        </w:tc>
        <w:tc>
          <w:tcPr>
            <w:tcW w:w="965" w:type="dxa"/>
            <w:vAlign w:val="center"/>
          </w:tcPr>
          <w:p w14:paraId="6B71F879">
            <w:pPr>
              <w:spacing w:line="400" w:lineRule="exact"/>
              <w:jc w:val="center"/>
              <w:rPr>
                <w:rFonts w:hint="eastAsia" w:asciiTheme="minorEastAsia" w:hAnsiTheme="minorEastAsia" w:eastAsiaTheme="minorEastAsia" w:cstheme="minorEastAsia"/>
                <w:color w:val="auto"/>
                <w:sz w:val="24"/>
                <w:szCs w:val="24"/>
                <w:highlight w:val="none"/>
              </w:rPr>
            </w:pPr>
          </w:p>
        </w:tc>
        <w:tc>
          <w:tcPr>
            <w:tcW w:w="8432" w:type="dxa"/>
            <w:vAlign w:val="center"/>
          </w:tcPr>
          <w:p w14:paraId="58F65605">
            <w:pPr>
              <w:pStyle w:val="100"/>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sz w:val="24"/>
                <w:szCs w:val="24"/>
              </w:rPr>
            </w:pPr>
            <w:r>
              <w:rPr>
                <w:rFonts w:ascii="宋体" w:hAnsi="宋体" w:cs="宋体"/>
                <w:b/>
                <w:bCs w:val="0"/>
                <w:sz w:val="24"/>
                <w:szCs w:val="24"/>
                <w:highlight w:val="none"/>
              </w:rPr>
              <w:t>是否组织现场考察或召开开标前答疑会</w:t>
            </w:r>
            <w:r>
              <w:rPr>
                <w:rFonts w:ascii="宋体" w:hAnsi="宋体" w:cs="宋体"/>
                <w:bCs/>
                <w:sz w:val="24"/>
                <w:szCs w:val="24"/>
                <w:highlight w:val="none"/>
              </w:rPr>
              <w:t>：</w:t>
            </w:r>
            <w:r>
              <w:rPr>
                <w:rFonts w:hint="eastAsia" w:asciiTheme="minorEastAsia" w:hAnsiTheme="minorEastAsia" w:eastAsiaTheme="minorEastAsia" w:cstheme="minorEastAsia"/>
                <w:color w:val="auto"/>
                <w:sz w:val="24"/>
                <w:szCs w:val="24"/>
              </w:rPr>
              <w:t>采购包1：为符合采购人实际需求，避免产生不必要的争议，各潜在投标人可在本项目报名截止时间前至勘察地点对现场进行实地勘察</w:t>
            </w:r>
            <w:r>
              <w:rPr>
                <w:rFonts w:ascii="宋体" w:hAnsi="宋体" w:eastAsia="宋体" w:cs="宋体"/>
                <w:sz w:val="24"/>
                <w:szCs w:val="24"/>
              </w:rPr>
              <w:t>原车辆的情况</w:t>
            </w:r>
            <w:r>
              <w:rPr>
                <w:rFonts w:hint="eastAsia" w:asciiTheme="minorEastAsia" w:hAnsiTheme="minorEastAsia" w:eastAsiaTheme="minorEastAsia" w:cstheme="minorEastAsia"/>
                <w:color w:val="auto"/>
                <w:sz w:val="24"/>
                <w:szCs w:val="24"/>
              </w:rPr>
              <w:t>[自愿原则，如不考查，视为已考查过现场,潜在投标人后续（招标过程或合同履行时）不得以未考察现场方面的事由向采购人提出任何异议，风险由潜在投标人自行承担]对于采购人的地理位置、采购要求、现场情况等进行了解，以便获取有关编制招标文件所涉及现场的资料。采购人对潜在投标人做出的任何推论、理解和结论均不负责任。考察现场所发生的费用及发生的意外均由潜在投标人自行承担。现场勘察联系人:</w:t>
            </w:r>
            <w:r>
              <w:rPr>
                <w:rFonts w:hint="eastAsia" w:ascii="宋体" w:hAnsi="宋体" w:eastAsia="宋体" w:cs="宋体"/>
                <w:color w:val="auto"/>
                <w:sz w:val="24"/>
                <w:szCs w:val="24"/>
                <w:lang w:val="en-US" w:eastAsia="zh-CN"/>
              </w:rPr>
              <w:t>吴嘉捷</w:t>
            </w:r>
            <w:r>
              <w:rPr>
                <w:rFonts w:hint="eastAsia" w:asciiTheme="minorEastAsia" w:hAnsiTheme="minorEastAsia" w:eastAsiaTheme="minorEastAsia" w:cstheme="minorEastAsia"/>
                <w:color w:val="auto"/>
                <w:sz w:val="24"/>
                <w:szCs w:val="24"/>
              </w:rPr>
              <w:t>，联系方式：</w:t>
            </w:r>
            <w:r>
              <w:rPr>
                <w:rFonts w:hint="eastAsia" w:ascii="宋体" w:hAnsi="宋体" w:eastAsia="宋体" w:cs="宋体"/>
                <w:color w:val="auto"/>
                <w:sz w:val="24"/>
                <w:szCs w:val="24"/>
                <w:lang w:val="en-US" w:eastAsia="zh-CN"/>
              </w:rPr>
              <w:t>13459909110</w:t>
            </w:r>
            <w:r>
              <w:rPr>
                <w:rFonts w:hint="eastAsia" w:asciiTheme="minorEastAsia" w:hAnsiTheme="minorEastAsia" w:eastAsiaTheme="minorEastAsia" w:cstheme="minorEastAsia"/>
                <w:color w:val="auto"/>
                <w:sz w:val="24"/>
                <w:szCs w:val="24"/>
              </w:rPr>
              <w:t>。</w:t>
            </w:r>
          </w:p>
          <w:p w14:paraId="74661CD9">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p w14:paraId="4D406BDE">
            <w:pPr>
              <w:pStyle w:val="100"/>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1）质疑受理的其它要求：在法定质疑期内质疑人须一次性提出针对同一采购程序环节的质疑，二（多）次质疑不予受理。</w:t>
            </w:r>
          </w:p>
          <w:p w14:paraId="3E26A203">
            <w:pPr>
              <w:pStyle w:val="100"/>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sz w:val="24"/>
                <w:szCs w:val="24"/>
              </w:rPr>
              <w:t>2）无效投标及废标条款：以下为可能导致无效投标或废标的条款，具体内容详见招标文件各章节，请各投标人认真查看对照。</w:t>
            </w:r>
            <w:r>
              <w:rPr>
                <w:rFonts w:hint="eastAsia" w:ascii="宋体" w:hAnsi="宋体" w:eastAsia="宋体" w:cs="宋体"/>
                <w:sz w:val="24"/>
                <w:szCs w:val="24"/>
              </w:rPr>
              <w:t>①</w:t>
            </w:r>
            <w:r>
              <w:rPr>
                <w:rFonts w:hint="eastAsia" w:ascii="宋体" w:hAnsi="宋体" w:eastAsia="宋体" w:cs="宋体"/>
                <w:color w:val="auto"/>
                <w:sz w:val="24"/>
                <w:szCs w:val="24"/>
              </w:rPr>
              <w:t>出现第三章投标无效规定的；②出现第四章投标无效规定的；③出现第五章招标内容及</w:t>
            </w:r>
            <w:r>
              <w:rPr>
                <w:rFonts w:hint="eastAsia" w:ascii="宋体" w:hAnsi="宋体" w:eastAsia="宋体" w:cs="宋体"/>
                <w:sz w:val="24"/>
                <w:szCs w:val="24"/>
              </w:rPr>
              <w:t>要求投标无效规定的；④符合专业条件的投标人或者对招标文件作实质响应的投标人不足三家的；⑤出现影响采购公正的违法、违规行为的；⑥投标人的报价均超过了采购预算，采购人不能支付的；⑦因重大变故，采购任务取消的。</w:t>
            </w:r>
            <w:r>
              <w:rPr>
                <w:rFonts w:hint="eastAsia" w:ascii="宋体" w:hAnsi="宋体" w:eastAsia="宋体" w:cs="宋体"/>
                <w:color w:val="auto"/>
                <w:sz w:val="24"/>
                <w:szCs w:val="24"/>
              </w:rPr>
              <w:t xml:space="preserve"> </w:t>
            </w:r>
            <w:r>
              <w:rPr>
                <w:rFonts w:hint="eastAsia" w:ascii="宋体" w:hAnsi="宋体" w:cs="宋体"/>
                <w:bCs/>
                <w:sz w:val="24"/>
                <w:szCs w:val="24"/>
                <w:highlight w:val="none"/>
                <w:lang w:val="en-US" w:eastAsia="zh-CN"/>
              </w:rPr>
              <w:t xml:space="preserve">       </w:t>
            </w:r>
          </w:p>
        </w:tc>
      </w:tr>
    </w:tbl>
    <w:p w14:paraId="562F401B">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11A2AEA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cstheme="minorEastAsia"/>
          <w:b/>
          <w:color w:val="auto"/>
          <w:sz w:val="28"/>
          <w:szCs w:val="28"/>
          <w:highlight w:val="none"/>
        </w:rPr>
      </w:pPr>
      <w:bookmarkStart w:id="4" w:name="_Toc32585"/>
      <w:r>
        <w:rPr>
          <w:rFonts w:hint="eastAsia" w:asciiTheme="minorEastAsia" w:hAnsiTheme="minorEastAsia" w:eastAsiaTheme="minorEastAsia" w:cstheme="minorEastAsia"/>
          <w:b/>
          <w:color w:val="auto"/>
          <w:sz w:val="28"/>
          <w:szCs w:val="28"/>
          <w:highlight w:val="none"/>
        </w:rPr>
        <w:t>一、说明</w:t>
      </w:r>
      <w:bookmarkEnd w:id="4"/>
    </w:p>
    <w:p w14:paraId="6A932B6E">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适用范围</w:t>
      </w:r>
    </w:p>
    <w:p w14:paraId="112A92EB">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1本招标文件仅适用于投标邀请中所叙述项目的招标。</w:t>
      </w:r>
    </w:p>
    <w:p w14:paraId="1D99777B">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定义</w:t>
      </w:r>
    </w:p>
    <w:p w14:paraId="76F0BEF7">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1“招标人”系指本次招标项目的业主方。</w:t>
      </w:r>
    </w:p>
    <w:p w14:paraId="2ADE22A7">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2“招标采购单位”系指组织本次招标活动的招标人或招标代理机构。</w:t>
      </w:r>
    </w:p>
    <w:p w14:paraId="08A99117">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3“招标代理机构”系指本次招标活动组织方。</w:t>
      </w:r>
    </w:p>
    <w:p w14:paraId="6EE48C78">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4“投标人”系指获取了本招标文件，且已经提交或者准备提交本次投标文件的制造商或制造商授权的经销商。</w:t>
      </w:r>
    </w:p>
    <w:p w14:paraId="0E12631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5“货物”系指中标人按招标文件规定向招标人提供的一切设备、机械、仪器仪表、备品备件、工具手册及其它有关技术资料和材料。</w:t>
      </w:r>
    </w:p>
    <w:p w14:paraId="02FFEF0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6“服务”系指招标文件规定中标人须承担的安装、调试、技术协助、校准、培训以及其他类似的义务。</w:t>
      </w:r>
    </w:p>
    <w:p w14:paraId="6AA45A3A">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合格的投标人</w:t>
      </w:r>
    </w:p>
    <w:p w14:paraId="5949AC46">
      <w:pPr>
        <w:keepNext w:val="0"/>
        <w:keepLines w:val="0"/>
        <w:pageBreakBefore w:val="0"/>
        <w:widowControl/>
        <w:kinsoku/>
        <w:topLinePunct w:val="0"/>
        <w:bidi w:val="0"/>
        <w:spacing w:line="42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1详见本章投标人须知前附表第2</w:t>
      </w:r>
      <w:r>
        <w:rPr>
          <w:rFonts w:hint="eastAsia" w:asciiTheme="minorEastAsia" w:hAnsiTheme="minorEastAsia" w:eastAsiaTheme="minorEastAsia" w:cstheme="minorEastAsia"/>
          <w:color w:val="auto"/>
          <w:sz w:val="24"/>
          <w:szCs w:val="24"/>
          <w:highlight w:val="none"/>
          <w:lang w:eastAsia="zh-CN"/>
        </w:rPr>
        <w:t>项号</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kern w:val="0"/>
          <w:sz w:val="24"/>
          <w:szCs w:val="24"/>
          <w:highlight w:val="none"/>
        </w:rPr>
        <w:t>。</w:t>
      </w:r>
    </w:p>
    <w:p w14:paraId="4257386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2一个投标人只能提交一个投标文件。投标人代表只能接受一个投标人的授权参加投标。法定代表人为同一人或者存在控股、管理关系的不同单位，不得参加同一合同包投标。</w:t>
      </w:r>
    </w:p>
    <w:p w14:paraId="31B63CE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3投标人不得与本次招标项下设计、编制技术规格和其它文件的公司或提供咨询服务的公司包括其附属机构有任何关联。</w:t>
      </w:r>
    </w:p>
    <w:p w14:paraId="436A93C4">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投标人有责任对3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2、3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3条规定的条款中情形做出声明,否则投标被拒绝。(格式见第五章投标文件格式)。</w:t>
      </w:r>
    </w:p>
    <w:p w14:paraId="1914D18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4投标代理人在同一个项目中只能接受一个投标人的委托参加投标。</w:t>
      </w:r>
    </w:p>
    <w:p w14:paraId="1A35FD3E">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投标费用</w:t>
      </w:r>
    </w:p>
    <w:p w14:paraId="1B5FD92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1投标人自行承担其参加投标所涉及的一切费用。</w:t>
      </w:r>
    </w:p>
    <w:p w14:paraId="7EEAF754">
      <w:pPr>
        <w:pStyle w:val="49"/>
        <w:keepNext w:val="0"/>
        <w:keepLines w:val="0"/>
        <w:pageBreakBefore w:val="0"/>
        <w:kinsoku/>
        <w:topLinePunct w:val="0"/>
        <w:bidi w:val="0"/>
        <w:spacing w:line="420" w:lineRule="exact"/>
        <w:jc w:val="center"/>
        <w:outlineLvl w:val="1"/>
        <w:rPr>
          <w:rFonts w:hint="eastAsia" w:asciiTheme="minorEastAsia" w:hAnsiTheme="minorEastAsia" w:eastAsiaTheme="minorEastAsia" w:cstheme="minorEastAsia"/>
          <w:b/>
          <w:color w:val="auto"/>
          <w:sz w:val="24"/>
          <w:szCs w:val="24"/>
          <w:highlight w:val="none"/>
        </w:rPr>
      </w:pPr>
      <w:bookmarkStart w:id="5" w:name="_Toc15494"/>
      <w:r>
        <w:rPr>
          <w:rFonts w:hint="eastAsia" w:asciiTheme="minorEastAsia" w:hAnsiTheme="minorEastAsia" w:eastAsiaTheme="minorEastAsia" w:cstheme="minorEastAsia"/>
          <w:b/>
          <w:color w:val="auto"/>
          <w:sz w:val="24"/>
          <w:szCs w:val="24"/>
          <w:highlight w:val="none"/>
        </w:rPr>
        <w:t>二、招标文件</w:t>
      </w:r>
      <w:bookmarkEnd w:id="5"/>
    </w:p>
    <w:p w14:paraId="69752D9A">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招标文件的组成</w:t>
      </w:r>
    </w:p>
    <w:p w14:paraId="07B1CB06">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1招标文件用以阐明所需货物及服务、招标程序和合同全部条款。招标文件由下述部分组成</w:t>
      </w:r>
      <w:r>
        <w:rPr>
          <w:rFonts w:hint="eastAsia" w:asciiTheme="minorEastAsia" w:hAnsiTheme="minorEastAsia" w:eastAsiaTheme="minorEastAsia" w:cstheme="minorEastAsia"/>
          <w:color w:val="auto"/>
          <w:sz w:val="24"/>
          <w:szCs w:val="24"/>
          <w:highlight w:val="none"/>
          <w:lang w:eastAsia="zh-CN"/>
        </w:rPr>
        <w:t>:</w:t>
      </w:r>
    </w:p>
    <w:p w14:paraId="44F8A3D8">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投标邀请</w:t>
      </w:r>
    </w:p>
    <w:p w14:paraId="132DC647">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投标人须知 </w:t>
      </w:r>
    </w:p>
    <w:p w14:paraId="04256CA0">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招标内容及要求</w:t>
      </w:r>
    </w:p>
    <w:p w14:paraId="0222E332">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采购合同</w:t>
      </w:r>
    </w:p>
    <w:p w14:paraId="22FF1EC4">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投标文件格式(分资格及资信证明部分格式、技术商务部分格式和报价部分格式)</w:t>
      </w:r>
    </w:p>
    <w:p w14:paraId="57262096">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招标文件不单独提供本项目使用地的自然环境、气候条件、公有设施、配套设施等情况，投标人若对以上情况要求了解，经招标人同意后，可以到使用地勘察，否则将被视为熟悉上述与履行合同有关的一切情况。</w:t>
      </w:r>
    </w:p>
    <w:p w14:paraId="4B45DD71">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招标文件的澄清</w:t>
      </w:r>
    </w:p>
    <w:p w14:paraId="743AA18D">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1投标人对招标文件如有疑点，可要求澄清。要求澄清应按投标邀请中载明的地址以书面形式(</w:t>
      </w:r>
      <w:r>
        <w:rPr>
          <w:rFonts w:hint="eastAsia" w:asciiTheme="minorEastAsia" w:hAnsiTheme="minorEastAsia" w:eastAsiaTheme="minorEastAsia" w:cstheme="minorEastAsia"/>
          <w:color w:val="auto"/>
          <w:spacing w:val="-6"/>
          <w:sz w:val="24"/>
          <w:szCs w:val="24"/>
          <w:highlight w:val="none"/>
        </w:rPr>
        <w:t>有效签署的原件并加盖公章，</w:t>
      </w:r>
      <w:r>
        <w:rPr>
          <w:rFonts w:hint="eastAsia" w:asciiTheme="minorEastAsia" w:hAnsiTheme="minorEastAsia" w:eastAsiaTheme="minorEastAsia" w:cstheme="minorEastAsia"/>
          <w:color w:val="auto"/>
          <w:sz w:val="24"/>
          <w:szCs w:val="24"/>
          <w:highlight w:val="none"/>
        </w:rPr>
        <w:t>拒绝传真、电邮、电话形式等其它形式)通知招标代理机构。招标代理机构将视情况在投标截止时间15个日历日(如至原定截止时间不足15个日历日，则需顺延提交投标文件截止时间)前将不标明查询来源的书面答复发给所有投标人，并在招标信息发布媒体上发布更正公告。该澄清内容为招标文件的组成部分。</w:t>
      </w:r>
    </w:p>
    <w:p w14:paraId="616B093E">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招标文件的修改</w:t>
      </w:r>
    </w:p>
    <w:p w14:paraId="6F049DE2">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至投标截止日期前15日(如至原定截止时间不足15个日历日，则需顺延提交投标文件截止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w:t>
      </w:r>
    </w:p>
    <w:p w14:paraId="0CE32273">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2招标单位可以视采购具体情况，延长投标截止时间和开标时间，将变更时间以书面形式通知所有招标文件收受人，并在招标信息发布媒体上发布变更公告。该修改内容为招标文件的组成部分。在此情况下，招标人和投标人受投标截止期制约的所有权利和义务均应延长至新的截止日期。 </w:t>
      </w:r>
    </w:p>
    <w:p w14:paraId="7389E9B8">
      <w:pPr>
        <w:keepNext w:val="0"/>
        <w:keepLines w:val="0"/>
        <w:pageBreakBefore w:val="0"/>
        <w:kinsoku/>
        <w:topLinePunct w:val="0"/>
        <w:bidi w:val="0"/>
        <w:spacing w:line="420" w:lineRule="exact"/>
        <w:jc w:val="center"/>
        <w:outlineLvl w:val="1"/>
        <w:rPr>
          <w:rFonts w:hint="eastAsia" w:asciiTheme="minorEastAsia" w:hAnsiTheme="minorEastAsia" w:eastAsiaTheme="minorEastAsia" w:cstheme="minorEastAsia"/>
          <w:b/>
          <w:color w:val="auto"/>
          <w:sz w:val="24"/>
          <w:szCs w:val="24"/>
          <w:highlight w:val="none"/>
        </w:rPr>
      </w:pPr>
      <w:bookmarkStart w:id="6" w:name="_Toc4161"/>
      <w:r>
        <w:rPr>
          <w:rFonts w:hint="eastAsia" w:asciiTheme="minorEastAsia" w:hAnsiTheme="minorEastAsia" w:eastAsiaTheme="minorEastAsia" w:cstheme="minorEastAsia"/>
          <w:b/>
          <w:color w:val="auto"/>
          <w:sz w:val="24"/>
          <w:szCs w:val="24"/>
          <w:highlight w:val="none"/>
        </w:rPr>
        <w:t>三、投标文件的编写</w:t>
      </w:r>
      <w:bookmarkEnd w:id="6"/>
    </w:p>
    <w:p w14:paraId="4895AB1C">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要求</w:t>
      </w:r>
    </w:p>
    <w:p w14:paraId="00939FB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1投标人应仔细阅读招标文件的所有内容，按照招标文件的要求提交投标文件。投标文件应对招标文件的要求做出实质性响应，并保证所提供的全部资料的真实性，否则其投标将被拒绝。</w:t>
      </w:r>
    </w:p>
    <w:p w14:paraId="44040ED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2投标人可对招标项目一览表所列的全部合同包或部分合同包进行投标。招标代理机构不接受有任何可选择性的报价，每一种货物及相应服务只能有一个报价。</w:t>
      </w:r>
    </w:p>
    <w:p w14:paraId="13C362EF">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投标文件语言</w:t>
      </w:r>
    </w:p>
    <w:p w14:paraId="3390579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文件应用中文书写。投标文件中所附或所引用的原件不是中文时，必须提供具有翻译资质的机构翻译的中文译本。翻译的中文译本应由翻译人员签名并加盖翻译机构公章，同时提供翻译人员翻译资格证书。投标人投标时提供的中文译本、翻译机构及翻译人员资格证书可为复印件，并加盖投标人公章。各种计量单位及符号应采用国家法定的计量单位和符号。</w:t>
      </w:r>
    </w:p>
    <w:p w14:paraId="6A385EEB">
      <w:pPr>
        <w:keepNext w:val="0"/>
        <w:keepLines w:val="0"/>
        <w:pageBreakBefore w:val="0"/>
        <w:kinsoku/>
        <w:topLinePunct w:val="0"/>
        <w:bidi w:val="0"/>
        <w:adjustRightInd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※中文译本未按上述要求提供的，认定为该项资格或技术商务的证明文件/材料无效，即该项资格或技术商务要求不符合。</w:t>
      </w:r>
    </w:p>
    <w:p w14:paraId="25AC31D8">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投标文件的组成</w:t>
      </w:r>
    </w:p>
    <w:p w14:paraId="109F0BA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1资格及资信证明部分应包括下列部分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(单独编制、装订、胶装成册并密封)</w:t>
      </w:r>
    </w:p>
    <w:p w14:paraId="3094E84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(1)关于资格的声明函</w:t>
      </w:r>
    </w:p>
    <w:p w14:paraId="53AE4DC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(2)投标人的资格声明一</w:t>
      </w:r>
    </w:p>
    <w:p w14:paraId="47F3E272">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(3)投标人的资格声明一的证明材料</w:t>
      </w:r>
    </w:p>
    <w:p w14:paraId="68FDE87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(4)投标人的资格声明二</w:t>
      </w:r>
    </w:p>
    <w:p w14:paraId="6238AD4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(5)法定代表人授权书</w:t>
      </w:r>
    </w:p>
    <w:p w14:paraId="68C56B6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(6)营业执照等证明文件</w:t>
      </w:r>
    </w:p>
    <w:p w14:paraId="63EE421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投标保证金复印件</w:t>
      </w:r>
    </w:p>
    <w:p w14:paraId="12F3E6B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)投标人提供的其它资格证明文件(若有)</w:t>
      </w:r>
    </w:p>
    <w:p w14:paraId="5A08A2D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2技术商务部分应包括下列部分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(单独编制、装订、胶装成册并密封)</w:t>
      </w:r>
    </w:p>
    <w:p w14:paraId="58FAA37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技术商务部分评标内容对应表</w:t>
      </w:r>
    </w:p>
    <w:p w14:paraId="01200B1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(1)货物说明一览表</w:t>
      </w:r>
    </w:p>
    <w:p w14:paraId="17AC8FE1">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(2)供货范围清单</w:t>
      </w:r>
    </w:p>
    <w:p w14:paraId="62B30E7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(3)技术和服务要求响应表</w:t>
      </w:r>
    </w:p>
    <w:p w14:paraId="3817173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(4)商务条件响应表</w:t>
      </w:r>
    </w:p>
    <w:p w14:paraId="21F2BBA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(5)质量保证与售后服务承诺</w:t>
      </w:r>
    </w:p>
    <w:p w14:paraId="519B510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(6)投标人提交的其它资料</w:t>
      </w:r>
    </w:p>
    <w:p w14:paraId="0F87827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)投标人廉政承诺书</w:t>
      </w:r>
    </w:p>
    <w:p w14:paraId="6203A23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服务费承诺书</w:t>
      </w:r>
    </w:p>
    <w:p w14:paraId="084F91B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3报价部分应包括下列部分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(单独编制、装订、胶装成册并密封)</w:t>
      </w:r>
    </w:p>
    <w:p w14:paraId="3E03E7E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(1)投标书</w:t>
      </w:r>
    </w:p>
    <w:p w14:paraId="3C631A9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(2)开标一览表</w:t>
      </w:r>
    </w:p>
    <w:p w14:paraId="4DED80B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(3)投标分项报价表</w:t>
      </w:r>
    </w:p>
    <w:p w14:paraId="10A9DDC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(4)退还投标保证金函</w:t>
      </w:r>
    </w:p>
    <w:p w14:paraId="2A031275">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10</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kern w:val="0"/>
          <w:sz w:val="24"/>
          <w:szCs w:val="24"/>
          <w:highlight w:val="none"/>
        </w:rPr>
        <w:t>特别提示</w:t>
      </w:r>
      <w:r>
        <w:rPr>
          <w:rFonts w:hint="eastAsia" w:asciiTheme="minorEastAsia" w:hAnsiTheme="minorEastAsia" w:eastAsiaTheme="minorEastAsia" w:cstheme="minorEastAsia"/>
          <w:b/>
          <w:color w:val="auto"/>
          <w:kern w:val="0"/>
          <w:sz w:val="24"/>
          <w:szCs w:val="24"/>
          <w:highlight w:val="none"/>
          <w:lang w:eastAsia="zh-CN"/>
        </w:rPr>
        <w:t>:</w:t>
      </w:r>
    </w:p>
    <w:p w14:paraId="0A6C6015">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val="0"/>
          <w:color w:val="auto"/>
          <w:kern w:val="0"/>
          <w:sz w:val="24"/>
          <w:szCs w:val="24"/>
          <w:highlight w:val="none"/>
        </w:rPr>
        <w:t>(1)</w:t>
      </w:r>
      <w:r>
        <w:rPr>
          <w:rFonts w:hint="eastAsia" w:asciiTheme="minorEastAsia" w:hAnsiTheme="minorEastAsia" w:eastAsiaTheme="minorEastAsia" w:cstheme="minorEastAsia"/>
          <w:b/>
          <w:bCs w:val="0"/>
          <w:color w:val="auto"/>
          <w:sz w:val="24"/>
          <w:szCs w:val="24"/>
          <w:highlight w:val="none"/>
        </w:rPr>
        <w:t>本项目实行两阶段评标。各投标人提交的投标文件应由资格及资信证明部分、技术商务部分和报价部分组成，投标人必须将资格及资信证明部分、技术商务部分和报价部分分别单独装订，分册密封投标，且资格及资信证明部分、技术商务部分分册中不得出现投标报价信息，否则该投标人的投标文件将被视为无效投标。</w:t>
      </w:r>
    </w:p>
    <w:p w14:paraId="2CFBC04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(2)</w:t>
      </w:r>
      <w:r>
        <w:rPr>
          <w:rFonts w:hint="eastAsia" w:asciiTheme="minorEastAsia" w:hAnsiTheme="minorEastAsia" w:eastAsiaTheme="minorEastAsia" w:cstheme="minorEastAsia"/>
          <w:bCs/>
          <w:color w:val="auto"/>
          <w:sz w:val="24"/>
          <w:szCs w:val="24"/>
          <w:highlight w:val="none"/>
        </w:rPr>
        <w:t>投标人的投标文件中如投标书、开标一览表、投标分项报价表或详细报价书等凡是体现投标报价的文件资料均属于报价部分。投标人在制作和分册装订、密封投标文件的过程中要十分注意，避免自己造成无效标的结果。</w:t>
      </w:r>
      <w:r>
        <w:rPr>
          <w:rFonts w:hint="eastAsia" w:asciiTheme="minorEastAsia" w:hAnsiTheme="minorEastAsia" w:eastAsiaTheme="minorEastAsia" w:cstheme="minorEastAsia"/>
          <w:bCs/>
          <w:color w:val="auto"/>
          <w:kern w:val="0"/>
          <w:sz w:val="24"/>
          <w:szCs w:val="24"/>
          <w:highlight w:val="none"/>
        </w:rPr>
        <w:t>具体装订要求详见本章“三、投标文件的编写”中“13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1投标文件的编制与装订要求”。</w:t>
      </w:r>
    </w:p>
    <w:p w14:paraId="4B86959A">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投标有效期</w:t>
      </w:r>
    </w:p>
    <w:p w14:paraId="2B72E78D">
      <w:pPr>
        <w:keepNext w:val="0"/>
        <w:keepLines w:val="0"/>
        <w:pageBreakBefore w:val="0"/>
        <w:kinsoku/>
        <w:topLinePunct w:val="0"/>
        <w:bidi w:val="0"/>
        <w:spacing w:line="420" w:lineRule="exact"/>
        <w:ind w:firstLine="480" w:firstLineChars="200"/>
        <w:rPr>
          <w:rFonts w:hint="eastAsia"/>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1投标文件从投标人须知前附表第4项所规定的投标截止期之后开始生效，在投标人须知前附表第3项所规定的期限内保持有效。有效期不足将导致其投标文件被拒绝。</w:t>
      </w:r>
    </w:p>
    <w:p w14:paraId="0FAF161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或不予退还投标保证金的规定在投标有效期延长期内继续有效。</w:t>
      </w:r>
    </w:p>
    <w:p w14:paraId="3F6278CB">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投标保证金</w:t>
      </w:r>
    </w:p>
    <w:p w14:paraId="6F1DF3D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1投标保证金为投标文件的组成部分之一。</w:t>
      </w:r>
    </w:p>
    <w:p w14:paraId="6055B83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2投标人应在提交投标文件之前向招标代理机构缴交投标人须知前附表第5项要求的投标保证金。</w:t>
      </w:r>
    </w:p>
    <w:p w14:paraId="7679B651">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3投标保证金用于保护本次招标活动免受投标人的行为而引起的风险。</w:t>
      </w:r>
    </w:p>
    <w:p w14:paraId="0C3ACBA3">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4投标保证金以电汇、转账形式提交。</w:t>
      </w:r>
    </w:p>
    <w:p w14:paraId="2B3DF02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5未按规定缴交投标保证金的投标，将被视为无效投标。</w:t>
      </w:r>
    </w:p>
    <w:p w14:paraId="3BD2B7D1">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招标代理机构将在中标通知书发出之日起5个日历日内予以原额原址无息退还中标人以外的投标人的投标保证金。因招标代理机构原因造成逾期退还投标保证金的,招标代理机构应当按商业银行同期一年期贷款基准利率上浮20%后的利率向投标人支付资金占用费。</w:t>
      </w:r>
    </w:p>
    <w:p w14:paraId="68B3BE30">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7在中标人签订合同后5个日历日内，中标人的投标保证金予以原额原址无息退还。</w:t>
      </w:r>
    </w:p>
    <w:p w14:paraId="55E3F79C">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8投标保证金的有效期与投标有效期一致。</w:t>
      </w:r>
    </w:p>
    <w:p w14:paraId="50F4B057">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9发生以下情况之一的，投标保证金将不予退还</w:t>
      </w:r>
      <w:r>
        <w:rPr>
          <w:rFonts w:hint="eastAsia" w:asciiTheme="minorEastAsia" w:hAnsiTheme="minorEastAsia" w:eastAsiaTheme="minorEastAsia" w:cstheme="minorEastAsia"/>
          <w:color w:val="auto"/>
          <w:sz w:val="24"/>
          <w:szCs w:val="24"/>
          <w:highlight w:val="none"/>
          <w:lang w:eastAsia="zh-CN"/>
        </w:rPr>
        <w:t>:</w:t>
      </w:r>
    </w:p>
    <w:p w14:paraId="0B43D680">
      <w:pPr>
        <w:pStyle w:val="7"/>
        <w:keepNext w:val="0"/>
        <w:keepLines w:val="0"/>
        <w:pageBreakBefore w:val="0"/>
        <w:kinsoku/>
        <w:topLinePunct w:val="0"/>
        <w:bidi w:val="0"/>
        <w:snapToGrid w:val="0"/>
        <w:spacing w:line="42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投标人在投标截止期后，投标有效期内撤回投标；</w:t>
      </w:r>
    </w:p>
    <w:p w14:paraId="6906914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中标人未能做到按本须知第22条规定签订合同；</w:t>
      </w:r>
    </w:p>
    <w:p w14:paraId="1FFD35B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以他人名义投标或者以其他方式弄虚作假，骗取中标；</w:t>
      </w:r>
    </w:p>
    <w:p w14:paraId="233149D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本招标文件中规定的其他没收投标保证金的情形。</w:t>
      </w:r>
    </w:p>
    <w:p w14:paraId="27A2D6A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上述不予退还投标保证金的情况给招标采购单位造成损失的，还要承担赔偿责任。</w:t>
      </w:r>
    </w:p>
    <w:p w14:paraId="434CA110">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投标文件的格式</w:t>
      </w:r>
    </w:p>
    <w:p w14:paraId="5DACB059">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1投标文件的编制与装订要求</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投标人须按本招标文件中第五章第一册“资格及资信证明部分格式”、第二册“技术商务部分格式”和第三册“报价部分格式”要求规定的内容和顺序分别编制和单独装订投标文件</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①资格及资信证明部分文件须提供一份正本，</w:t>
      </w:r>
      <w:r>
        <w:rPr>
          <w:rFonts w:hint="eastAsia" w:asciiTheme="minorEastAsia" w:hAnsiTheme="minorEastAsia" w:eastAsiaTheme="minorEastAsia" w:cstheme="minorEastAsia"/>
          <w:b/>
          <w:color w:val="auto"/>
          <w:sz w:val="24"/>
          <w:szCs w:val="24"/>
          <w:highlight w:val="none"/>
          <w:lang w:val="en-US" w:eastAsia="zh-CN"/>
        </w:rPr>
        <w:t>陆</w:t>
      </w:r>
      <w:r>
        <w:rPr>
          <w:rFonts w:hint="eastAsia" w:asciiTheme="minorEastAsia" w:hAnsiTheme="minorEastAsia" w:eastAsiaTheme="minorEastAsia" w:cstheme="minorEastAsia"/>
          <w:b/>
          <w:color w:val="auto"/>
          <w:sz w:val="24"/>
          <w:szCs w:val="24"/>
          <w:highlight w:val="none"/>
        </w:rPr>
        <w:t>份副本，正本和副本一起密封在一个封套中；②技术商务部分文件须提供一份正本，</w:t>
      </w:r>
      <w:r>
        <w:rPr>
          <w:rFonts w:hint="eastAsia" w:asciiTheme="minorEastAsia" w:hAnsiTheme="minorEastAsia" w:eastAsiaTheme="minorEastAsia" w:cstheme="minorEastAsia"/>
          <w:b/>
          <w:color w:val="auto"/>
          <w:sz w:val="24"/>
          <w:szCs w:val="24"/>
          <w:highlight w:val="none"/>
          <w:lang w:val="en-US" w:eastAsia="zh-CN"/>
        </w:rPr>
        <w:t>陆</w:t>
      </w:r>
      <w:r>
        <w:rPr>
          <w:rFonts w:hint="eastAsia" w:asciiTheme="minorEastAsia" w:hAnsiTheme="minorEastAsia" w:eastAsiaTheme="minorEastAsia" w:cstheme="minorEastAsia"/>
          <w:b/>
          <w:color w:val="auto"/>
          <w:sz w:val="24"/>
          <w:szCs w:val="24"/>
          <w:highlight w:val="none"/>
        </w:rPr>
        <w:t>份副本，正本和副本一起密封在一个封套中；③报价部分文件须提供一份正本，</w:t>
      </w:r>
      <w:r>
        <w:rPr>
          <w:rFonts w:hint="eastAsia" w:asciiTheme="minorEastAsia" w:hAnsiTheme="minorEastAsia" w:eastAsiaTheme="minorEastAsia" w:cstheme="minorEastAsia"/>
          <w:b/>
          <w:color w:val="auto"/>
          <w:sz w:val="24"/>
          <w:szCs w:val="24"/>
          <w:highlight w:val="none"/>
          <w:lang w:val="en-US" w:eastAsia="zh-CN"/>
        </w:rPr>
        <w:t>陆</w:t>
      </w:r>
      <w:r>
        <w:rPr>
          <w:rFonts w:hint="eastAsia" w:asciiTheme="minorEastAsia" w:hAnsiTheme="minorEastAsia" w:eastAsiaTheme="minorEastAsia" w:cstheme="minorEastAsia"/>
          <w:b/>
          <w:color w:val="auto"/>
          <w:sz w:val="24"/>
          <w:szCs w:val="24"/>
          <w:highlight w:val="none"/>
        </w:rPr>
        <w:t>份副本，正本和副本一起密封在一个封套中；④电子文本（需提供签字、盖章完成的投标文件正本扫描件PDF格式一份，可编辑word版本投标文件一份）</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须提供一个可读U盘(无须分合同包提供)，该U盘单独密封在一个封套中。投标文件应编制封面、目录、页码，正本必须用A4幅面纸张打印。投标文件应编制封面、目录、页码，正本必须用A4幅面纸张打印。副本可以用正本的完整复印件。正、副本均须胶装装订成册，并加盖骑缝章(或每页盖章)。封面须标明“正本”、“副本”字样。正本与副本如有不一致，则以正本为准。未按以上规定编制装订者其投标将被视为无效投标。(请各投标人特别注意)</w:t>
      </w:r>
    </w:p>
    <w:p w14:paraId="12DED844">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2投标文件应由投标人的法定代表人或者其授权代表在第五章投标文件格式中出现签名和盖章的相应处签名并加盖公章，如由后者签名，应提供“法定代表人授权书”。</w:t>
      </w:r>
    </w:p>
    <w:p w14:paraId="7F8D3CCE">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3本次招标项目使用的报价货币为人民币，本次招标项目涉及保留小数点后两位的均按四舍五入的原则。</w:t>
      </w:r>
    </w:p>
    <w:p w14:paraId="523E25E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4投标人应提交证明其拟供货物符合招标文件要求的技术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，该文件可以是文字资料、图纸和数据</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w:t>
      </w:r>
    </w:p>
    <w:p w14:paraId="72514C3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5投标文件的正本和全部副本均应使用不能擦去的墨料或墨水打印、书写或复印，并由法定代表人或其授权代表签署，</w:t>
      </w:r>
      <w:r>
        <w:rPr>
          <w:rFonts w:hint="eastAsia" w:asciiTheme="minorEastAsia" w:hAnsiTheme="minorEastAsia" w:eastAsiaTheme="minorEastAsia" w:cstheme="minorEastAsia"/>
          <w:color w:val="auto"/>
          <w:sz w:val="24"/>
          <w:szCs w:val="24"/>
          <w:highlight w:val="none"/>
          <w:lang w:val="en-US" w:eastAsia="zh-CN"/>
        </w:rPr>
        <w:t>加</w:t>
      </w:r>
      <w:r>
        <w:rPr>
          <w:rFonts w:hint="eastAsia" w:asciiTheme="minorEastAsia" w:hAnsiTheme="minorEastAsia" w:eastAsiaTheme="minorEastAsia" w:cstheme="minorEastAsia"/>
          <w:color w:val="auto"/>
          <w:sz w:val="24"/>
          <w:szCs w:val="24"/>
          <w:highlight w:val="none"/>
        </w:rPr>
        <w:t>盖投标人公章。</w:t>
      </w:r>
    </w:p>
    <w:p w14:paraId="065B671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6全套投标文件应无涂改和行间插字，除非这些改动是根据招标代理机构的指示进行的，或者是为改正投标人造成的必须修改的错误而进行的。有改动时，修改处应由授权代表签署证明或加盖校正章。 </w:t>
      </w:r>
    </w:p>
    <w:p w14:paraId="110B42E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7未按本须知规定的格式填写投标文件、投标文件字迹模糊不清的，其投标将被拒绝。</w:t>
      </w:r>
    </w:p>
    <w:p w14:paraId="6763E361">
      <w:pPr>
        <w:keepNext w:val="0"/>
        <w:keepLines w:val="0"/>
        <w:pageBreakBefore w:val="0"/>
        <w:kinsoku/>
        <w:topLinePunct w:val="0"/>
        <w:bidi w:val="0"/>
        <w:spacing w:line="420" w:lineRule="exact"/>
        <w:jc w:val="center"/>
        <w:outlineLvl w:val="1"/>
        <w:rPr>
          <w:rFonts w:hint="eastAsia" w:asciiTheme="minorEastAsia" w:hAnsiTheme="minorEastAsia" w:eastAsiaTheme="minorEastAsia" w:cstheme="minorEastAsia"/>
          <w:b/>
          <w:color w:val="auto"/>
          <w:sz w:val="24"/>
          <w:szCs w:val="24"/>
          <w:highlight w:val="none"/>
        </w:rPr>
      </w:pPr>
      <w:bookmarkStart w:id="7" w:name="_Toc17707"/>
      <w:r>
        <w:rPr>
          <w:rFonts w:hint="eastAsia" w:asciiTheme="minorEastAsia" w:hAnsiTheme="minorEastAsia" w:eastAsiaTheme="minorEastAsia" w:cstheme="minorEastAsia"/>
          <w:b/>
          <w:color w:val="auto"/>
          <w:sz w:val="24"/>
          <w:szCs w:val="24"/>
          <w:highlight w:val="none"/>
        </w:rPr>
        <w:t>四、投标文件的提交</w:t>
      </w:r>
      <w:bookmarkEnd w:id="7"/>
    </w:p>
    <w:p w14:paraId="436738AE">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投标文件的密封、标记和递交</w:t>
      </w:r>
    </w:p>
    <w:p w14:paraId="11A4037F">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1投标人应将投标文件资格及资信证明部分、技术商务部分和报价部分分别用密封袋单独密封(具体要求详见上述13</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1)，并在封口处加盖骑缝公章，标明招标编号、投标人名称、投标项目名称字样。投标文件未密封将导致投标被拒绝。</w:t>
      </w:r>
    </w:p>
    <w:p w14:paraId="597022A9">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2每一信封密封处应注明“于</w:t>
      </w:r>
      <w:r>
        <w:rPr>
          <w:rFonts w:hint="eastAsia" w:asciiTheme="minorEastAsia" w:hAnsiTheme="minorEastAsia" w:eastAsiaTheme="minorEastAsia" w:cstheme="minorEastAsia"/>
          <w:b/>
          <w:color w:val="auto"/>
          <w:sz w:val="24"/>
          <w:szCs w:val="24"/>
          <w:highlight w:val="none"/>
          <w:lang w:val="en-US" w:eastAsia="zh-CN"/>
        </w:rPr>
        <w:t>2025</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lang w:val="en-US" w:eastAsia="zh-CN"/>
        </w:rPr>
        <w:t xml:space="preserve">  日00：00</w:t>
      </w:r>
      <w:r>
        <w:rPr>
          <w:rFonts w:hint="eastAsia" w:asciiTheme="minorEastAsia" w:hAnsiTheme="minorEastAsia" w:eastAsiaTheme="minorEastAsia" w:cstheme="minorEastAsia"/>
          <w:b/>
          <w:color w:val="auto"/>
          <w:sz w:val="24"/>
          <w:szCs w:val="24"/>
          <w:highlight w:val="none"/>
        </w:rPr>
        <w:t>(北京时间)之前(指投标邀请中规定的开标日期及时间)不准启封”的字样，并加盖投标人公章。</w:t>
      </w:r>
    </w:p>
    <w:p w14:paraId="25B35F30">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3如果投标文件由邮局或专人送交，投标人应将投标文件按照本须知第14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1条至第14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2条的规定进行装订、密封和标记后，按投标人须知前附表注明的地址送至接收人。</w:t>
      </w:r>
    </w:p>
    <w:p w14:paraId="06343752">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4如果未按上述规定进行密封和标记，招标代理机构将不承担由此造成的对投标文件的误投或提前拆封的责任。</w:t>
      </w:r>
    </w:p>
    <w:p w14:paraId="0AF23F3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5投标文件应在投标邀请中规定的截止时间前送达，迟到的投标文件为无效投标文件, 将被拒收。</w:t>
      </w:r>
    </w:p>
    <w:p w14:paraId="474A4C52">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6投标人在投标截止时间前，可以对所提交的投标文件进行修改或者撤回，并书面通知招标代理机构。修改的内容和撤回通知应当按本须知要求签署、盖章、密封，并作为投标文件的组成部分。</w:t>
      </w:r>
    </w:p>
    <w:p w14:paraId="4D63CEB2">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7投标人在投标截止期后不得修改、撤回投标文件。投标人在投标截止期后修改投标文件的，其投标被拒绝。</w:t>
      </w:r>
    </w:p>
    <w:p w14:paraId="41A209E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8投标截止时间结束后参加投标的投标人不足三家的，本次招标程序终止，除采购任务取消情形外，招标采购单位将依法重新组织招标或者采取其他方式采购。</w:t>
      </w:r>
    </w:p>
    <w:p w14:paraId="32898567">
      <w:pPr>
        <w:keepNext w:val="0"/>
        <w:keepLines w:val="0"/>
        <w:pageBreakBefore w:val="0"/>
        <w:kinsoku/>
        <w:topLinePunct w:val="0"/>
        <w:bidi w:val="0"/>
        <w:spacing w:line="420" w:lineRule="exact"/>
        <w:jc w:val="center"/>
        <w:outlineLvl w:val="1"/>
        <w:rPr>
          <w:rFonts w:hint="eastAsia" w:asciiTheme="minorEastAsia" w:hAnsiTheme="minorEastAsia" w:eastAsiaTheme="minorEastAsia" w:cstheme="minorEastAsia"/>
          <w:b/>
          <w:color w:val="auto"/>
          <w:sz w:val="24"/>
          <w:szCs w:val="24"/>
          <w:highlight w:val="none"/>
        </w:rPr>
      </w:pPr>
      <w:bookmarkStart w:id="8" w:name="_Toc24268"/>
      <w:r>
        <w:rPr>
          <w:rFonts w:hint="eastAsia" w:asciiTheme="minorEastAsia" w:hAnsiTheme="minorEastAsia" w:eastAsiaTheme="minorEastAsia" w:cstheme="minorEastAsia"/>
          <w:b/>
          <w:color w:val="auto"/>
          <w:sz w:val="24"/>
          <w:szCs w:val="24"/>
          <w:highlight w:val="none"/>
        </w:rPr>
        <w:t>五、投标文件的评估和比较</w:t>
      </w:r>
      <w:bookmarkEnd w:id="8"/>
    </w:p>
    <w:p w14:paraId="34EDBEC7">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开标、评标时间</w:t>
      </w:r>
    </w:p>
    <w:p w14:paraId="77843937">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1在投标人须知前附表中所规定的时间、地点开标。</w:t>
      </w:r>
    </w:p>
    <w:p w14:paraId="3EB7723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2开标由招标代理机构主持，招标人、投标人和有关方面代表参加。所有投标人代表(必须与投标文件有权签名人一致)应参加开标会，并签到。 </w:t>
      </w:r>
    </w:p>
    <w:p w14:paraId="7856465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开标时，由招标人监督人员、投标人推荐代表和投标人授权代表检查投标文件的密封情况，对符合密封要求的投标文件当场逐一拆封，由开标会主持人宣唱并记录各投标人的报价，唱标内容为“开标一览表”内容。招标代理机构对唱标内容</w:t>
      </w:r>
      <w:r>
        <w:rPr>
          <w:rFonts w:hint="eastAsia" w:asciiTheme="minorEastAsia" w:hAnsiTheme="minorEastAsia" w:eastAsiaTheme="minorEastAsia" w:cstheme="minorEastAsia"/>
          <w:color w:val="auto"/>
          <w:sz w:val="24"/>
          <w:szCs w:val="24"/>
          <w:highlight w:val="none"/>
          <w:lang w:eastAsia="zh-CN"/>
        </w:rPr>
        <w:t>做</w:t>
      </w:r>
      <w:r>
        <w:rPr>
          <w:rFonts w:hint="eastAsia" w:asciiTheme="minorEastAsia" w:hAnsiTheme="minorEastAsia" w:eastAsiaTheme="minorEastAsia" w:cstheme="minorEastAsia"/>
          <w:color w:val="auto"/>
          <w:sz w:val="24"/>
          <w:szCs w:val="24"/>
          <w:highlight w:val="none"/>
        </w:rPr>
        <w:t>开标记录，由投标人代表签名确认。</w:t>
      </w:r>
    </w:p>
    <w:p w14:paraId="6A89D0A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4开标时，各投标人授权代表进行投标文件密封性检验与签名确认。</w:t>
      </w:r>
    </w:p>
    <w:p w14:paraId="7D6C861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5开标大会唱标结束后，各投标人授权代表须对本公司的唱标报价给予签名确认。</w:t>
      </w:r>
    </w:p>
    <w:p w14:paraId="145C39D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投标人对开标过程及开标记录若有异议，须按开标会须知的规定以书面形式当场向开标会主持人提出，否则视为对本次开标过程及开标记录予以认可，投标人不得在开标以后以各种事由向本公司提出任何异议和要求。</w:t>
      </w:r>
    </w:p>
    <w:p w14:paraId="78F6DD97">
      <w:pPr>
        <w:keepNext w:val="0"/>
        <w:keepLines w:val="0"/>
        <w:pageBreakBefore w:val="0"/>
        <w:tabs>
          <w:tab w:val="left" w:pos="3330"/>
        </w:tabs>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评标委员会</w:t>
      </w:r>
    </w:p>
    <w:p w14:paraId="0E7E5B1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1招标代理机构根据本次招标货物及相应服务的特点依法组建评标委员会。评标委员会由技术、经济、法律方面的专家和招标人代表组成。成员为</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人单数组成，专家不能少于三分之二。在开标后的适当时间里由评标委员会对投标文件进行审查、质疑、评估和比较，并做出推荐中标候选人的建议。</w:t>
      </w:r>
    </w:p>
    <w:p w14:paraId="7390F9F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2评标委员会成员有下列情形之一的，应当回避</w:t>
      </w:r>
      <w:r>
        <w:rPr>
          <w:rFonts w:hint="eastAsia" w:asciiTheme="minorEastAsia" w:hAnsiTheme="minorEastAsia" w:eastAsiaTheme="minorEastAsia" w:cstheme="minorEastAsia"/>
          <w:color w:val="auto"/>
          <w:sz w:val="24"/>
          <w:szCs w:val="24"/>
          <w:highlight w:val="none"/>
          <w:lang w:eastAsia="zh-CN"/>
        </w:rPr>
        <w:t>:</w:t>
      </w:r>
    </w:p>
    <w:p w14:paraId="6665A3F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(1)现在或者在招标活动发生前三年内，与供应商存在雇佣关系；</w:t>
      </w:r>
    </w:p>
    <w:p w14:paraId="66F260C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(2)现在或者在招标活动发生前三年内担任供应商的财务顾问、法律顾问或技术顾问；</w:t>
      </w:r>
    </w:p>
    <w:p w14:paraId="675BAD61">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(3)现在或者在招标活动发生前三年内是供应商的控股股东或者实际控制人；</w:t>
      </w:r>
    </w:p>
    <w:p w14:paraId="7FE9109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(4)与供应商的法定代表人或者负责人是直系血亲、三代以内旁系血亲及姻亲关系；</w:t>
      </w:r>
    </w:p>
    <w:p w14:paraId="029DAB91">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(5)与供应商之间存在其他影响或可能影响招标活动依法进行的利害关系。</w:t>
      </w:r>
    </w:p>
    <w:p w14:paraId="076D800E">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3在招标活动中，招标人员及相关人员与供应商有下列利害关系之一的，应当回避</w:t>
      </w:r>
      <w:r>
        <w:rPr>
          <w:rFonts w:hint="eastAsia" w:asciiTheme="minorEastAsia" w:hAnsiTheme="minorEastAsia" w:eastAsiaTheme="minorEastAsia" w:cstheme="minorEastAsia"/>
          <w:color w:val="auto"/>
          <w:sz w:val="24"/>
          <w:szCs w:val="24"/>
          <w:highlight w:val="none"/>
          <w:lang w:eastAsia="zh-CN"/>
        </w:rPr>
        <w:t>:</w:t>
      </w:r>
    </w:p>
    <w:p w14:paraId="1BD63C6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(1)参加招标活动前3年内与供应商存在劳动关系；</w:t>
      </w:r>
    </w:p>
    <w:p w14:paraId="6F92E1A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(2)参加招标活动前3年内担任供应商的董事、监事；</w:t>
      </w:r>
    </w:p>
    <w:p w14:paraId="4B6804D6">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(3)参加招标活动前3年内是供应商的控股股东或者实际控制人；</w:t>
      </w:r>
    </w:p>
    <w:p w14:paraId="34FE069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(4)与供应商的法定代表人或者负责人有夫妻、直系血亲、三代以内旁系血亲或者近姻亲关系；</w:t>
      </w:r>
    </w:p>
    <w:p w14:paraId="7AE0354E">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(5)与供应商有其他可能影响招标活动公平、公正进行的关系。</w:t>
      </w:r>
    </w:p>
    <w:p w14:paraId="605C61B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供应商认为招标人员及相关人员与其他供应商有利害关系的，可以向招标人或者本</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rPr>
        <w:t>提出回避申请并说明理由。</w:t>
      </w:r>
    </w:p>
    <w:p w14:paraId="78FF9727">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17</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投标文件的初审</w:t>
      </w:r>
    </w:p>
    <w:p w14:paraId="023F3051">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对所有投标人的评估，都采用相同的程序和标准。评议过程将严格按照招标文件的要求和条件以及客观、公正、审慎的原则进行。</w:t>
      </w:r>
    </w:p>
    <w:p w14:paraId="59609EA3">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有关投标文件的审查、澄清、评估和比较以及推荐中标候选人的一切情况都不得透露给任一投标人或与上述评标工作无关的人员。</w:t>
      </w:r>
    </w:p>
    <w:p w14:paraId="453F2CB3">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投标人任何试图影响评标委员会对投标文件的评估、比较或者推荐候选人的行为，都将导致其投标被拒绝，并被没收投标保证金。</w:t>
      </w:r>
    </w:p>
    <w:p w14:paraId="2E6D7C94">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1评标委员会将对投标文件进行检查，以确定投标文件是否完整、有无计算上的错误、是否提交了投标保证金、文件是否已正确签署。 </w:t>
      </w:r>
    </w:p>
    <w:p w14:paraId="641953DD">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2算术错误将按以下方法更正</w:t>
      </w:r>
      <w:r>
        <w:rPr>
          <w:rFonts w:hint="eastAsia" w:asciiTheme="minorEastAsia" w:hAnsiTheme="minorEastAsia" w:eastAsiaTheme="minorEastAsia" w:cstheme="minorEastAsia"/>
          <w:color w:val="auto"/>
          <w:sz w:val="24"/>
          <w:szCs w:val="24"/>
          <w:highlight w:val="none"/>
          <w:lang w:eastAsia="zh-CN"/>
        </w:rPr>
        <w:t>:</w:t>
      </w:r>
    </w:p>
    <w:p w14:paraId="48D4107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(1)投标文件中开标一览表(报价表)内容与投标文件中明细表内容不一致的，以开标一览表(报价表)为准。</w:t>
      </w:r>
    </w:p>
    <w:p w14:paraId="5F862B08">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BA9D33B">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如果投标人不接受按上述方法对投标文件中的算术错误进行更正，其投标将被拒绝并没收其投标保证金。</w:t>
      </w:r>
    </w:p>
    <w:p w14:paraId="60053A9C">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3资格</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查和符合性</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 xml:space="preserve">查 </w:t>
      </w:r>
    </w:p>
    <w:p w14:paraId="393D8D89">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1资格</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14:paraId="3F629100">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2符合性</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查。依据招标文件的规定，评标委员会还将从投标文件的有效性、完整性和对招标文件的响应程度进行审查，以确定是否符合对招标文件的实质性要求作出响应。(招标人可根据具体项目的情况对实质性要求作特别的规定。)实质性偏离是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实质性影响货物及其服务和合同的范围、质量和履行；(2)实质性违背招标文件，限制了招标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按无效标处理。</w:t>
      </w:r>
    </w:p>
    <w:p w14:paraId="6489155D">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(1)投标文件未按照本章规定分为资格及资信证明部分、技术商务部分和报价部分的；或资格及资信证明部分、技术商务部分出现报价内容的；</w:t>
      </w:r>
    </w:p>
    <w:p w14:paraId="039237E4">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(2)投标文件未按本章第13、14条规定要求进行装订、密封、标记的；</w:t>
      </w:r>
    </w:p>
    <w:p w14:paraId="01C23202">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(3)投标文件未按规定由投标人的法定代表人或其授权代表签</w:t>
      </w:r>
      <w:r>
        <w:rPr>
          <w:rFonts w:hint="eastAsia" w:asciiTheme="minorEastAsia" w:hAnsiTheme="minorEastAsia" w:eastAsiaTheme="minorEastAsia" w:cstheme="minorEastAsia"/>
          <w:b/>
          <w:color w:val="auto"/>
          <w:sz w:val="24"/>
          <w:szCs w:val="24"/>
          <w:highlight w:val="none"/>
          <w:lang w:val="en-US" w:eastAsia="zh-CN"/>
        </w:rPr>
        <w:t>字</w:t>
      </w:r>
      <w:r>
        <w:rPr>
          <w:rFonts w:hint="eastAsia" w:asciiTheme="minorEastAsia" w:hAnsiTheme="minorEastAsia" w:eastAsiaTheme="minorEastAsia" w:cstheme="minorEastAsia"/>
          <w:b/>
          <w:color w:val="auto"/>
          <w:sz w:val="24"/>
          <w:szCs w:val="24"/>
          <w:highlight w:val="none"/>
        </w:rPr>
        <w:t>的；或未加盖投标人公章的；或签</w:t>
      </w:r>
      <w:r>
        <w:rPr>
          <w:rFonts w:hint="eastAsia" w:asciiTheme="minorEastAsia" w:hAnsiTheme="minorEastAsia" w:eastAsiaTheme="minorEastAsia" w:cstheme="minorEastAsia"/>
          <w:b/>
          <w:color w:val="auto"/>
          <w:sz w:val="24"/>
          <w:szCs w:val="24"/>
          <w:highlight w:val="none"/>
          <w:lang w:val="en-US" w:eastAsia="zh-CN"/>
        </w:rPr>
        <w:t>字</w:t>
      </w:r>
      <w:r>
        <w:rPr>
          <w:rFonts w:hint="eastAsia" w:asciiTheme="minorEastAsia" w:hAnsiTheme="minorEastAsia" w:eastAsiaTheme="minorEastAsia" w:cstheme="minorEastAsia"/>
          <w:b/>
          <w:color w:val="auto"/>
          <w:sz w:val="24"/>
          <w:szCs w:val="24"/>
          <w:highlight w:val="none"/>
        </w:rPr>
        <w:t>人未经法定代表人有效授权委托的；</w:t>
      </w:r>
    </w:p>
    <w:p w14:paraId="23FA712A">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(4)投标人未按规定提交投标保证金的；</w:t>
      </w:r>
    </w:p>
    <w:p w14:paraId="456179F7">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(5)投标有效期不满足招标文件要求的；</w:t>
      </w:r>
    </w:p>
    <w:p w14:paraId="79DBE107">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(6)投标内容与招标内容及要求有重大偏离或保留的；</w:t>
      </w:r>
    </w:p>
    <w:p w14:paraId="1583F9F5">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(7)投标人提交的是可选择的报价；</w:t>
      </w:r>
    </w:p>
    <w:p w14:paraId="673CEEE5">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(8)一个投标人不止投一个标；</w:t>
      </w:r>
    </w:p>
    <w:p w14:paraId="0E63BA1B">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(9)投标文件组成不符合招标文件要求的；</w:t>
      </w:r>
    </w:p>
    <w:p w14:paraId="02E9B40D">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(10)投标文件中提供虚假或失实资料的；</w:t>
      </w:r>
    </w:p>
    <w:p w14:paraId="441B6FB2">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(11)不符合招标文件中规定的其它实质性条款；</w:t>
      </w:r>
    </w:p>
    <w:p w14:paraId="593648A8">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(12)未按规定办理获取招标文件手续的；</w:t>
      </w:r>
    </w:p>
    <w:p w14:paraId="353BADFD">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(13)未在投标截止时间前送达的投标文件；</w:t>
      </w:r>
    </w:p>
    <w:p w14:paraId="7050CD81">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(14)投标人的报价高于最高限价的；</w:t>
      </w:r>
    </w:p>
    <w:p w14:paraId="157A54A2">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(15)投标文件没有正本的；</w:t>
      </w:r>
    </w:p>
    <w:p w14:paraId="4192D2EC">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(16)未满足招标文件规定资格标准的；</w:t>
      </w:r>
    </w:p>
    <w:p w14:paraId="07D72BA2">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(17)投标人与本次招标项目设计、编制技术规格和其它文件的公司或提供咨询服务的公司包括其附属机构有关联的；</w:t>
      </w:r>
    </w:p>
    <w:p w14:paraId="45E5D631">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(18)投标人存在串通投标行为的；</w:t>
      </w:r>
    </w:p>
    <w:p w14:paraId="182BE708">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(19)存在招标文件中投标无效的规定的；</w:t>
      </w:r>
    </w:p>
    <w:p w14:paraId="64964ACC">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(20)不满足招标文件带“★”号的关键性参数或关键功能配置项；</w:t>
      </w:r>
    </w:p>
    <w:p w14:paraId="7474B67C">
      <w:pPr>
        <w:keepNext w:val="0"/>
        <w:keepLines w:val="0"/>
        <w:pageBreakBefore w:val="0"/>
        <w:kinsoku/>
        <w:topLinePunct w:val="0"/>
        <w:bidi w:val="0"/>
        <w:snapToGrid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(21)不符合招标文件中规定的其它实质性条款。</w:t>
      </w:r>
    </w:p>
    <w:p w14:paraId="6B4A49CF">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评标委员会决定投标的响应性只根据投标文件本身的内容，而不寻求其他的外部证据。但评标委员会可要求候选中标人对其在投标文件中提供的实质性响应的材料的真实性出具相关证明。</w:t>
      </w:r>
    </w:p>
    <w:p w14:paraId="06B8227C">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 xml:space="preserve">投标文件的澄清 </w:t>
      </w:r>
    </w:p>
    <w:p w14:paraId="6C341AD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，并不得超出投标文件的范围或者改变投标文件的实质性内容。</w:t>
      </w:r>
    </w:p>
    <w:p w14:paraId="6C880B9E">
      <w:pPr>
        <w:keepNext w:val="0"/>
        <w:keepLines w:val="0"/>
        <w:pageBreakBefore w:val="0"/>
        <w:kinsoku/>
        <w:topLinePunct w:val="0"/>
        <w:bidi w:val="0"/>
        <w:adjustRightInd w:val="0"/>
        <w:snapToGrid w:val="0"/>
        <w:spacing w:line="42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2对投标描述和证明材料不一致的，评标委员会应当要求投标人进行书面澄清</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rPr>
        <w:t>一般在一个小时内须到达评标地点，具体以评标委员会规</w:t>
      </w:r>
      <w:r>
        <w:rPr>
          <w:rFonts w:hint="eastAsia" w:asciiTheme="minorEastAsia" w:hAnsiTheme="minorEastAsia" w:eastAsiaTheme="minorEastAsia" w:cstheme="minorEastAsia"/>
          <w:color w:val="auto"/>
          <w:kern w:val="2"/>
          <w:sz w:val="24"/>
          <w:szCs w:val="24"/>
          <w:highlight w:val="none"/>
          <w:lang w:eastAsia="zh-CN"/>
        </w:rPr>
        <w:t>定的</w:t>
      </w:r>
      <w:r>
        <w:rPr>
          <w:rFonts w:hint="eastAsia" w:asciiTheme="minorEastAsia" w:hAnsiTheme="minorEastAsia" w:eastAsiaTheme="minorEastAsia" w:cstheme="minorEastAsia"/>
          <w:color w:val="auto"/>
          <w:kern w:val="2"/>
          <w:sz w:val="24"/>
          <w:szCs w:val="24"/>
          <w:highlight w:val="none"/>
        </w:rPr>
        <w:t>时间为准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并以不利于投标人的内容为准进行评审。投标人的澄清、说明应当采用书面形式，并不得超出投标文件的范围或者改变投标文件的实质性内容。投标人按要求进行澄清的，招标人以澄清内容为准进行验收；投标人未按要求进行澄清的，招标人以投标描述、证明材料中有利于招标人的内容进行验收。</w:t>
      </w:r>
    </w:p>
    <w:p w14:paraId="40EC7E1B">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比较与评价</w:t>
      </w:r>
    </w:p>
    <w:p w14:paraId="31240ADA">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1评标委员会将按投标人须知前附表第6项所述评标方法与标准，对资格性检查和符</w:t>
      </w:r>
    </w:p>
    <w:p w14:paraId="2585CAB3">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合性检查合格的投标文件进行商务和技术评估，综合比较与评价。</w:t>
      </w:r>
    </w:p>
    <w:p w14:paraId="20A13675">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2评标委员会将按比较与评价最优在先原则, 排列评价顺序, 根据在投标人须知前附表中确定的中标候选人数量推荐出中标候选人。</w:t>
      </w:r>
    </w:p>
    <w:p w14:paraId="58BC2BDE">
      <w:pPr>
        <w:keepNext w:val="0"/>
        <w:keepLines w:val="0"/>
        <w:pageBreakBefore w:val="0"/>
        <w:kinsoku/>
        <w:topLinePunct w:val="0"/>
        <w:bidi w:val="0"/>
        <w:spacing w:line="4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3在评标期间，若出现符合本须知规定的所有投标条件的投标人不足三家情形的，本次招标程序终止，除采购任务取消情形外，招标采购单位将依法重新组织招标或者采取其他方式采购。</w:t>
      </w:r>
    </w:p>
    <w:p w14:paraId="5745A5F6">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b/>
          <w:color w:val="auto"/>
          <w:kern w:val="0"/>
          <w:sz w:val="24"/>
          <w:szCs w:val="24"/>
          <w:highlight w:val="none"/>
        </w:rPr>
        <w:t>19</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4评标委员会在评标过程中发现投标人存在下列情形之一的，可认定其有串通投标行为，并做出其投标无效的决定</w:t>
      </w:r>
      <w:r>
        <w:rPr>
          <w:rFonts w:hint="eastAsia" w:asciiTheme="minorEastAsia" w:hAnsiTheme="minorEastAsia" w:eastAsiaTheme="minorEastAsia" w:cstheme="minorEastAsia"/>
          <w:b/>
          <w:color w:val="auto"/>
          <w:kern w:val="0"/>
          <w:sz w:val="24"/>
          <w:szCs w:val="24"/>
          <w:highlight w:val="none"/>
          <w:lang w:eastAsia="zh-CN"/>
        </w:rPr>
        <w:t>:</w:t>
      </w:r>
    </w:p>
    <w:p w14:paraId="7400805D">
      <w:pPr>
        <w:keepNext w:val="0"/>
        <w:keepLines w:val="0"/>
        <w:pageBreakBefore w:val="0"/>
        <w:kinsoku/>
        <w:wordWrap w:val="0"/>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①不同投标人的投标文件由同一单位或个人编写。</w:t>
      </w:r>
    </w:p>
    <w:p w14:paraId="2973DFFD">
      <w:pPr>
        <w:keepNext w:val="0"/>
        <w:keepLines w:val="0"/>
        <w:pageBreakBefore w:val="0"/>
        <w:kinsoku/>
        <w:wordWrap w:val="0"/>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②不同投标人委托同一单位或个人办理投标手续。</w:t>
      </w:r>
    </w:p>
    <w:p w14:paraId="268AFDA5">
      <w:pPr>
        <w:keepNext w:val="0"/>
        <w:keepLines w:val="0"/>
        <w:pageBreakBefore w:val="0"/>
        <w:kinsoku/>
        <w:wordWrap w:val="0"/>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③不同投标人的投标文件载明的项目管理成员为同一人。</w:t>
      </w:r>
    </w:p>
    <w:p w14:paraId="3E04ABE4">
      <w:pPr>
        <w:keepNext w:val="0"/>
        <w:keepLines w:val="0"/>
        <w:pageBreakBefore w:val="0"/>
        <w:kinsoku/>
        <w:wordWrap w:val="0"/>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④不同投标人的投标文件异常一致或者投标报价呈规律性差异。</w:t>
      </w:r>
    </w:p>
    <w:p w14:paraId="70269E50">
      <w:pPr>
        <w:keepNext w:val="0"/>
        <w:keepLines w:val="0"/>
        <w:pageBreakBefore w:val="0"/>
        <w:kinsoku/>
        <w:wordWrap w:val="0"/>
        <w:topLinePunct w:val="0"/>
        <w:bidi w:val="0"/>
        <w:spacing w:line="42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⑤不同投标人的投标文件相互混装。</w:t>
      </w:r>
    </w:p>
    <w:p w14:paraId="549F3A06">
      <w:pPr>
        <w:keepNext w:val="0"/>
        <w:keepLines w:val="0"/>
        <w:pageBreakBefore w:val="0"/>
        <w:widowControl/>
        <w:kinsoku/>
        <w:topLinePunct w:val="0"/>
        <w:bidi w:val="0"/>
        <w:snapToGrid w:val="0"/>
        <w:spacing w:line="42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⑥不同投标人的投标保证金从同一单位或个人的账户转出。</w:t>
      </w:r>
    </w:p>
    <w:p w14:paraId="315B70B1">
      <w:pPr>
        <w:keepNext w:val="0"/>
        <w:keepLines w:val="0"/>
        <w:pageBreakBefore w:val="0"/>
        <w:kinsoku/>
        <w:topLinePunct w:val="0"/>
        <w:bidi w:val="0"/>
        <w:spacing w:line="420" w:lineRule="exact"/>
        <w:ind w:firstLine="482" w:firstLineChars="200"/>
        <w:outlineLvl w:val="2"/>
        <w:rPr>
          <w:rFonts w:hint="eastAsia" w:asciiTheme="minorEastAsia" w:hAnsiTheme="minorEastAsia" w:eastAsiaTheme="minorEastAsia" w:cstheme="minorEastAsia"/>
          <w:b/>
          <w:color w:val="auto"/>
          <w:sz w:val="24"/>
          <w:szCs w:val="24"/>
          <w:highlight w:val="none"/>
        </w:rPr>
      </w:pPr>
      <w:bookmarkStart w:id="9" w:name="_Toc20153"/>
      <w:r>
        <w:rPr>
          <w:rFonts w:hint="eastAsia" w:asciiTheme="minorEastAsia" w:hAnsiTheme="minorEastAsia" w:eastAsiaTheme="minorEastAsia" w:cstheme="minorEastAsia"/>
          <w:b/>
          <w:color w:val="auto"/>
          <w:sz w:val="24"/>
          <w:szCs w:val="24"/>
          <w:highlight w:val="none"/>
        </w:rPr>
        <w:t>19</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5具体评标标准和方法</w:t>
      </w:r>
      <w:bookmarkEnd w:id="9"/>
    </w:p>
    <w:p w14:paraId="2A4F9C95">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b/>
          <w:color w:val="auto"/>
          <w:sz w:val="24"/>
          <w:szCs w:val="24"/>
          <w:highlight w:val="none"/>
        </w:rPr>
        <w:t>本项目评标采用综合评分法。</w:t>
      </w:r>
    </w:p>
    <w:p w14:paraId="2BD0D014">
      <w:pPr>
        <w:keepNext w:val="0"/>
        <w:keepLines w:val="0"/>
        <w:pageBreakBefore w:val="0"/>
        <w:kinsoku/>
        <w:topLinePunct w:val="0"/>
        <w:bidi w:val="0"/>
        <w:spacing w:line="42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第一阶段</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评标委员会按照招标法律法规及相关规定、招标文件规定的评标方法和标准，对通过资格性及符合性审查的技术商务文件进行评审，评出实质性响应招标文件技术商务要求的投标人，并计算出各投标人技术商务部分的得分。</w:t>
      </w:r>
    </w:p>
    <w:p w14:paraId="08473DB1">
      <w:pPr>
        <w:pStyle w:val="47"/>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第三章《招标内容及要求》中，凡带“★”号项目为关键性参数或关键功能配置项等实质性要求，任一项不满足视为技术不响应，将按无效投标处理。</w:t>
      </w:r>
    </w:p>
    <w:p w14:paraId="2094EBF6">
      <w:pPr>
        <w:keepNext w:val="0"/>
        <w:keepLines w:val="0"/>
        <w:pageBreakBefore w:val="0"/>
        <w:kinsoku/>
        <w:topLinePunct w:val="0"/>
        <w:bidi w:val="0"/>
        <w:spacing w:line="420" w:lineRule="exact"/>
        <w:ind w:firstLine="47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第二阶段</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经第一阶段评选出的实质性响应招标文件技术商务要求的投标人进入第二阶段评标。评标委员会按招标文件规定的评标标准和方法，评出实质性响应招标文件报价要求的投标人，并计算出各投标人价格部分的得分。</w:t>
      </w:r>
    </w:p>
    <w:p w14:paraId="057C9CD7">
      <w:pPr>
        <w:keepNext w:val="0"/>
        <w:keepLines w:val="0"/>
        <w:pageBreakBefore w:val="0"/>
        <w:kinsoku/>
        <w:topLinePunct w:val="0"/>
        <w:bidi w:val="0"/>
        <w:spacing w:line="420" w:lineRule="exact"/>
        <w:ind w:firstLine="472"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最后将两阶段相加汇总计算各合格投标人的综合得分，并按各合格投标人的综合得分由高到低顺序推荐一名中标候选人。若有相同的最高得分，则其中投标总价低的投标人将被排序在前；若有相同的最高得分且投标报价相</w:t>
      </w:r>
      <w:r>
        <w:rPr>
          <w:rFonts w:hint="eastAsia" w:asciiTheme="minorEastAsia" w:hAnsiTheme="minorEastAsia" w:eastAsiaTheme="minorEastAsia" w:cstheme="minorEastAsia"/>
          <w:color w:val="auto"/>
          <w:sz w:val="24"/>
          <w:szCs w:val="24"/>
          <w:highlight w:val="none"/>
        </w:rPr>
        <w:t>同的，则按技术部分得分从高到低顺序进行排列，技术部分得分最高的投标人将被排序在前。</w:t>
      </w:r>
      <w:r>
        <w:rPr>
          <w:rFonts w:hint="eastAsia" w:asciiTheme="minorEastAsia" w:hAnsiTheme="minorEastAsia" w:eastAsiaTheme="minorEastAsia" w:cstheme="minorEastAsia"/>
          <w:color w:val="auto"/>
          <w:spacing w:val="-2"/>
          <w:sz w:val="24"/>
          <w:szCs w:val="24"/>
          <w:highlight w:val="none"/>
        </w:rPr>
        <w:t>若有相同的最高得分</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投标报价相</w:t>
      </w:r>
      <w:r>
        <w:rPr>
          <w:rFonts w:hint="eastAsia" w:asciiTheme="minorEastAsia" w:hAnsiTheme="minorEastAsia" w:eastAsiaTheme="minorEastAsia" w:cstheme="minorEastAsia"/>
          <w:color w:val="auto"/>
          <w:sz w:val="24"/>
          <w:szCs w:val="24"/>
          <w:highlight w:val="none"/>
        </w:rPr>
        <w:t>同</w:t>
      </w:r>
      <w:r>
        <w:rPr>
          <w:rFonts w:hint="eastAsia" w:asciiTheme="minorEastAsia" w:hAnsiTheme="minorEastAsia" w:eastAsiaTheme="minorEastAsia" w:cstheme="minorEastAsia"/>
          <w:color w:val="auto"/>
          <w:sz w:val="24"/>
          <w:szCs w:val="24"/>
          <w:highlight w:val="none"/>
          <w:lang w:eastAsia="zh-CN"/>
        </w:rPr>
        <w:t>且技术部分得分相同的，</w:t>
      </w:r>
      <w:r>
        <w:rPr>
          <w:rFonts w:hint="eastAsia" w:asciiTheme="minorEastAsia" w:hAnsiTheme="minorEastAsia" w:eastAsiaTheme="minorEastAsia" w:cstheme="minorEastAsia"/>
          <w:color w:val="auto"/>
          <w:kern w:val="0"/>
          <w:sz w:val="24"/>
          <w:szCs w:val="24"/>
          <w:highlight w:val="none"/>
        </w:rPr>
        <w:t>采取随机抽取方式确定</w:t>
      </w:r>
      <w:r>
        <w:rPr>
          <w:rFonts w:hint="eastAsia" w:asciiTheme="minorEastAsia" w:hAnsiTheme="minorEastAsia" w:eastAsiaTheme="minorEastAsia" w:cstheme="minorEastAsia"/>
          <w:color w:val="auto"/>
          <w:kern w:val="0"/>
          <w:sz w:val="24"/>
          <w:szCs w:val="24"/>
          <w:highlight w:val="none"/>
          <w:lang w:eastAsia="zh-CN"/>
        </w:rPr>
        <w:t>。</w:t>
      </w:r>
    </w:p>
    <w:p w14:paraId="7CBB2D77">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各项评审因素的设置如下</w:t>
      </w:r>
      <w:r>
        <w:rPr>
          <w:rFonts w:hint="eastAsia" w:asciiTheme="minorEastAsia" w:hAnsiTheme="minorEastAsia" w:eastAsiaTheme="minorEastAsia" w:cstheme="minorEastAsia"/>
          <w:b/>
          <w:color w:val="auto"/>
          <w:sz w:val="24"/>
          <w:szCs w:val="24"/>
          <w:highlight w:val="none"/>
          <w:lang w:eastAsia="zh-CN"/>
        </w:rPr>
        <w:t>:</w:t>
      </w:r>
    </w:p>
    <w:p w14:paraId="1B4E4453">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A</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技术部分评分     满分</w:t>
      </w:r>
      <w:r>
        <w:rPr>
          <w:rFonts w:hint="eastAsia" w:asciiTheme="minorEastAsia" w:hAnsiTheme="minorEastAsia" w:eastAsiaTheme="minorEastAsia" w:cstheme="minorEastAsia"/>
          <w:b/>
          <w:color w:val="auto"/>
          <w:sz w:val="24"/>
          <w:szCs w:val="24"/>
          <w:highlight w:val="none"/>
          <w:lang w:val="en-US" w:eastAsia="zh-CN"/>
        </w:rPr>
        <w:t>29</w:t>
      </w:r>
      <w:r>
        <w:rPr>
          <w:rFonts w:hint="eastAsia" w:asciiTheme="minorEastAsia" w:hAnsiTheme="minorEastAsia" w:eastAsiaTheme="minorEastAsia" w:cstheme="minorEastAsia"/>
          <w:b/>
          <w:color w:val="auto"/>
          <w:sz w:val="24"/>
          <w:szCs w:val="24"/>
          <w:highlight w:val="none"/>
        </w:rPr>
        <w:t>分</w:t>
      </w:r>
    </w:p>
    <w:p w14:paraId="608BFEED">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B</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商务部分评分     满分</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分</w:t>
      </w:r>
    </w:p>
    <w:p w14:paraId="1AD82064">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C</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报价部分评分     满分</w:t>
      </w: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分</w:t>
      </w:r>
    </w:p>
    <w:p w14:paraId="5A3B1CDD">
      <w:pPr>
        <w:keepNext w:val="0"/>
        <w:keepLines w:val="0"/>
        <w:pageBreakBefore w:val="0"/>
        <w:kinsoku/>
        <w:topLinePunct w:val="0"/>
        <w:bidi w:val="0"/>
        <w:spacing w:line="42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各评</w:t>
      </w:r>
      <w:r>
        <w:rPr>
          <w:rFonts w:hint="eastAsia" w:asciiTheme="minorEastAsia" w:hAnsiTheme="minorEastAsia" w:eastAsiaTheme="minorEastAsia" w:cstheme="minorEastAsia"/>
          <w:b/>
          <w:color w:val="auto"/>
          <w:sz w:val="24"/>
          <w:szCs w:val="24"/>
          <w:highlight w:val="none"/>
          <w:lang w:eastAsia="zh-CN"/>
        </w:rPr>
        <w:t>标</w:t>
      </w:r>
      <w:r>
        <w:rPr>
          <w:rFonts w:hint="eastAsia" w:asciiTheme="minorEastAsia" w:hAnsiTheme="minorEastAsia" w:eastAsiaTheme="minorEastAsia" w:cstheme="minorEastAsia"/>
          <w:b/>
          <w:color w:val="auto"/>
          <w:sz w:val="24"/>
          <w:szCs w:val="24"/>
          <w:highlight w:val="none"/>
        </w:rPr>
        <w:t>委</w:t>
      </w:r>
      <w:r>
        <w:rPr>
          <w:rFonts w:hint="eastAsia" w:asciiTheme="minorEastAsia" w:hAnsiTheme="minorEastAsia" w:eastAsiaTheme="minorEastAsia" w:cstheme="minorEastAsia"/>
          <w:b/>
          <w:color w:val="auto"/>
          <w:sz w:val="24"/>
          <w:szCs w:val="24"/>
          <w:highlight w:val="none"/>
          <w:lang w:eastAsia="zh-CN"/>
        </w:rPr>
        <w:t>员会</w:t>
      </w:r>
      <w:r>
        <w:rPr>
          <w:rFonts w:hint="eastAsia" w:asciiTheme="minorEastAsia" w:hAnsiTheme="minorEastAsia" w:eastAsiaTheme="minorEastAsia" w:cstheme="minorEastAsia"/>
          <w:b/>
          <w:color w:val="auto"/>
          <w:sz w:val="24"/>
          <w:szCs w:val="24"/>
          <w:highlight w:val="none"/>
        </w:rPr>
        <w:t>评分A、B部分分别取算术平均值为最终得分，并取小数点后的2位数。</w:t>
      </w:r>
    </w:p>
    <w:p w14:paraId="4FB13290">
      <w:pPr>
        <w:keepNext w:val="0"/>
        <w:keepLines w:val="0"/>
        <w:pageBreakBefore w:val="0"/>
        <w:kinsoku/>
        <w:topLinePunct w:val="0"/>
        <w:bidi w:val="0"/>
        <w:spacing w:line="420" w:lineRule="exact"/>
        <w:ind w:firstLine="482" w:firstLineChars="200"/>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综合得分为</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A+B+C</w:t>
      </w:r>
      <w:r>
        <w:rPr>
          <w:rFonts w:hint="eastAsia" w:asciiTheme="minorEastAsia" w:hAnsiTheme="minorEastAsia" w:eastAsiaTheme="minorEastAsia" w:cstheme="minorEastAsia"/>
          <w:b/>
          <w:color w:val="auto"/>
          <w:sz w:val="24"/>
          <w:szCs w:val="24"/>
          <w:highlight w:val="none"/>
          <w:lang w:val="en-US" w:eastAsia="zh-CN"/>
        </w:rPr>
        <w:t>=50</w:t>
      </w:r>
    </w:p>
    <w:tbl>
      <w:tblPr>
        <w:tblStyle w:val="32"/>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428"/>
        <w:gridCol w:w="6751"/>
      </w:tblGrid>
      <w:tr w14:paraId="6BDD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gridSpan w:val="3"/>
            <w:vAlign w:val="center"/>
          </w:tcPr>
          <w:p w14:paraId="7B80C55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第一阶段技术、商务部分的评标</w:t>
            </w:r>
            <w:r>
              <w:rPr>
                <w:rFonts w:hint="eastAsia" w:asciiTheme="minorEastAsia" w:hAnsiTheme="minorEastAsia" w:eastAsiaTheme="minorEastAsia" w:cstheme="minorEastAsia"/>
                <w:b/>
                <w:color w:val="auto"/>
                <w:sz w:val="24"/>
                <w:szCs w:val="24"/>
                <w:highlight w:val="none"/>
                <w:lang w:eastAsia="zh-CN"/>
              </w:rPr>
              <w:t>:</w:t>
            </w:r>
          </w:p>
        </w:tc>
      </w:tr>
      <w:tr w14:paraId="095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vAlign w:val="top"/>
          </w:tcPr>
          <w:p w14:paraId="57E79435">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技术部分评分(A</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满分</w:t>
            </w:r>
            <w:r>
              <w:rPr>
                <w:rFonts w:hint="eastAsia" w:asciiTheme="minorEastAsia" w:hAnsiTheme="minorEastAsia" w:eastAsiaTheme="minorEastAsia" w:cstheme="minorEastAsia"/>
                <w:b/>
                <w:bCs/>
                <w:color w:val="auto"/>
                <w:sz w:val="24"/>
                <w:szCs w:val="24"/>
                <w:highlight w:val="none"/>
                <w:lang w:val="en-US" w:eastAsia="zh-CN"/>
              </w:rPr>
              <w:t>29.00</w:t>
            </w:r>
            <w:r>
              <w:rPr>
                <w:rFonts w:hint="eastAsia" w:asciiTheme="minorEastAsia" w:hAnsiTheme="minorEastAsia" w:eastAsiaTheme="minorEastAsia" w:cstheme="minorEastAsia"/>
                <w:b/>
                <w:bCs/>
                <w:color w:val="auto"/>
                <w:sz w:val="24"/>
                <w:szCs w:val="24"/>
                <w:highlight w:val="none"/>
              </w:rPr>
              <w:t>分)</w:t>
            </w:r>
          </w:p>
        </w:tc>
      </w:tr>
      <w:tr w14:paraId="64AD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665AFB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评标项目</w:t>
            </w:r>
          </w:p>
        </w:tc>
        <w:tc>
          <w:tcPr>
            <w:tcW w:w="727" w:type="pct"/>
            <w:vAlign w:val="center"/>
          </w:tcPr>
          <w:p w14:paraId="1862A5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评标</w:t>
            </w:r>
            <w:r>
              <w:rPr>
                <w:rFonts w:hint="eastAsia" w:asciiTheme="minorEastAsia" w:hAnsiTheme="minorEastAsia" w:eastAsiaTheme="minorEastAsia" w:cstheme="minorEastAsia"/>
                <w:b/>
                <w:bCs/>
                <w:color w:val="auto"/>
                <w:sz w:val="24"/>
                <w:szCs w:val="24"/>
                <w:highlight w:val="none"/>
                <w:lang w:val="en-US" w:eastAsia="zh-CN"/>
              </w:rPr>
              <w:t>分值</w:t>
            </w:r>
          </w:p>
        </w:tc>
        <w:tc>
          <w:tcPr>
            <w:tcW w:w="3437" w:type="pct"/>
            <w:vAlign w:val="center"/>
          </w:tcPr>
          <w:p w14:paraId="4A4815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评</w:t>
            </w:r>
            <w:r>
              <w:rPr>
                <w:rFonts w:hint="eastAsia" w:asciiTheme="minorEastAsia" w:hAnsiTheme="minorEastAsia" w:eastAsiaTheme="minorEastAsia" w:cstheme="minorEastAsia"/>
                <w:b/>
                <w:bCs/>
                <w:color w:val="auto"/>
                <w:sz w:val="24"/>
                <w:szCs w:val="24"/>
                <w:highlight w:val="none"/>
                <w:lang w:val="en-US" w:eastAsia="zh-CN"/>
              </w:rPr>
              <w:t>审</w:t>
            </w:r>
            <w:r>
              <w:rPr>
                <w:rFonts w:hint="eastAsia" w:asciiTheme="minorEastAsia" w:hAnsiTheme="minorEastAsia" w:eastAsiaTheme="minorEastAsia" w:cstheme="minorEastAsia"/>
                <w:b/>
                <w:bCs/>
                <w:color w:val="auto"/>
                <w:sz w:val="24"/>
                <w:szCs w:val="24"/>
                <w:highlight w:val="none"/>
              </w:rPr>
              <w:t>标准及方法</w:t>
            </w:r>
          </w:p>
        </w:tc>
      </w:tr>
      <w:tr w14:paraId="7B7E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shd w:val="clear" w:color="auto" w:fill="auto"/>
            <w:vAlign w:val="center"/>
          </w:tcPr>
          <w:p w14:paraId="120508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整体要求</w:t>
            </w:r>
          </w:p>
        </w:tc>
        <w:tc>
          <w:tcPr>
            <w:tcW w:w="727" w:type="pct"/>
            <w:shd w:val="clear" w:color="auto" w:fill="auto"/>
            <w:vAlign w:val="center"/>
          </w:tcPr>
          <w:p w14:paraId="1EA1D3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5.00</w:t>
            </w:r>
          </w:p>
        </w:tc>
        <w:tc>
          <w:tcPr>
            <w:tcW w:w="3437" w:type="pct"/>
            <w:shd w:val="clear" w:color="auto" w:fill="auto"/>
            <w:vAlign w:val="center"/>
          </w:tcPr>
          <w:p w14:paraId="13C5866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pacing w:val="0"/>
                <w:kern w:val="2"/>
                <w:position w:val="0"/>
                <w:sz w:val="24"/>
                <w:szCs w:val="24"/>
                <w:highlight w:val="none"/>
                <w:lang w:val="en-US" w:eastAsia="zh-CN" w:bidi="ar-SA"/>
              </w:rPr>
            </w:pPr>
            <w:r>
              <w:rPr>
                <w:rFonts w:hint="eastAsia" w:ascii="宋体" w:hAnsi="宋体" w:cs="宋体"/>
                <w:b w:val="0"/>
                <w:bCs w:val="0"/>
                <w:color w:val="auto"/>
                <w:spacing w:val="0"/>
                <w:kern w:val="2"/>
                <w:position w:val="0"/>
                <w:sz w:val="24"/>
                <w:szCs w:val="24"/>
                <w:highlight w:val="none"/>
                <w:lang w:val="en-US" w:eastAsia="zh-CN" w:bidi="ar-SA"/>
              </w:rPr>
              <w:t>A1</w:t>
            </w:r>
            <w:r>
              <w:rPr>
                <w:rFonts w:hint="eastAsia" w:ascii="宋体" w:hAnsi="宋体" w:cs="宋体"/>
                <w:sz w:val="24"/>
                <w:szCs w:val="24"/>
                <w:highlight w:val="none"/>
                <w:lang w:val="en-US" w:eastAsia="zh-CN"/>
              </w:rPr>
              <w:t>根据投标人提供凸显绿色低碳、生态环保的理念的整体要求方案（包含但不限于：设计、选材、工艺等方面）进行评分：方案与项目需求吻合、思路清晰、层次细化，有具体详细的阐述的得5分；方案与项目需求较为吻合、思路较为清晰，有较为具体详细的阐述的得3分；方案与项目需求基本吻合、思路基本清晰的得1分；未提供的本项不得分。</w:t>
            </w:r>
          </w:p>
        </w:tc>
      </w:tr>
      <w:tr w14:paraId="59CF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28C556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cs="宋体"/>
                <w:sz w:val="24"/>
                <w:szCs w:val="24"/>
                <w:highlight w:val="none"/>
                <w:lang w:val="en-US" w:eastAsia="zh-CN"/>
              </w:rPr>
              <w:t>设计理念及设计</w:t>
            </w:r>
            <w:r>
              <w:rPr>
                <w:rFonts w:hint="eastAsia" w:ascii="宋体" w:hAnsi="宋体" w:eastAsia="宋体" w:cs="宋体"/>
                <w:sz w:val="24"/>
                <w:szCs w:val="24"/>
                <w:highlight w:val="none"/>
              </w:rPr>
              <w:t>配套</w:t>
            </w:r>
            <w:r>
              <w:rPr>
                <w:rFonts w:hint="eastAsia" w:ascii="宋体" w:hAnsi="宋体" w:cs="宋体"/>
                <w:sz w:val="24"/>
                <w:szCs w:val="24"/>
                <w:highlight w:val="none"/>
                <w:lang w:val="en-US" w:eastAsia="zh-CN"/>
              </w:rPr>
              <w:t>空间意向图或空间三维</w:t>
            </w:r>
            <w:r>
              <w:rPr>
                <w:rFonts w:hint="eastAsia" w:ascii="宋体" w:hAnsi="宋体" w:eastAsia="宋体" w:cs="宋体"/>
                <w:sz w:val="24"/>
                <w:szCs w:val="24"/>
                <w:highlight w:val="none"/>
              </w:rPr>
              <w:t>效</w:t>
            </w:r>
            <w:r>
              <w:rPr>
                <w:rFonts w:hint="eastAsia" w:ascii="宋体" w:hAnsi="宋体" w:cs="宋体"/>
                <w:sz w:val="24"/>
                <w:szCs w:val="24"/>
                <w:highlight w:val="none"/>
                <w:lang w:val="en-US" w:eastAsia="zh-CN"/>
              </w:rPr>
              <w:t>果图</w:t>
            </w:r>
          </w:p>
        </w:tc>
        <w:tc>
          <w:tcPr>
            <w:tcW w:w="727" w:type="pct"/>
            <w:vAlign w:val="center"/>
          </w:tcPr>
          <w:p w14:paraId="0BE9F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color w:val="auto"/>
                <w:kern w:val="0"/>
                <w:sz w:val="24"/>
                <w:szCs w:val="24"/>
                <w:highlight w:val="none"/>
                <w:lang w:val="en-US" w:eastAsia="zh-CN" w:bidi="ar"/>
              </w:rPr>
              <w:t>.00</w:t>
            </w:r>
          </w:p>
        </w:tc>
        <w:tc>
          <w:tcPr>
            <w:tcW w:w="3437" w:type="pct"/>
            <w:vAlign w:val="center"/>
          </w:tcPr>
          <w:p w14:paraId="4C3A0E2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bidi="ar-SA"/>
              </w:rPr>
              <w:t>A</w:t>
            </w:r>
            <w:r>
              <w:rPr>
                <w:rFonts w:hint="eastAsia" w:ascii="宋体" w:hAnsi="宋体" w:cs="宋体"/>
                <w:b w:val="0"/>
                <w:bCs w:val="0"/>
                <w:color w:val="auto"/>
                <w:spacing w:val="0"/>
                <w:kern w:val="2"/>
                <w:position w:val="0"/>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根据投标人提供的设计理念描述，包含但不限于：设计理念、配套效果图等内容，设计理念</w:t>
            </w:r>
            <w:r>
              <w:rPr>
                <w:rFonts w:hint="eastAsia" w:ascii="宋体" w:hAnsi="宋体" w:eastAsia="宋体" w:cs="宋体"/>
                <w:color w:val="auto"/>
                <w:kern w:val="2"/>
                <w:sz w:val="24"/>
                <w:szCs w:val="24"/>
                <w:highlight w:val="none"/>
                <w:lang w:val="en-US" w:eastAsia="en-US" w:bidi="ar-SA"/>
              </w:rPr>
              <w:t>内容编制要求</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①</w:t>
            </w:r>
            <w:r>
              <w:rPr>
                <w:rFonts w:hint="eastAsia" w:ascii="宋体" w:hAnsi="宋体" w:eastAsia="宋体" w:cs="宋体"/>
                <w:color w:val="auto"/>
                <w:kern w:val="2"/>
                <w:sz w:val="24"/>
                <w:szCs w:val="24"/>
                <w:highlight w:val="none"/>
                <w:lang w:val="en-US" w:eastAsia="en-US" w:bidi="ar-SA"/>
              </w:rPr>
              <w:t>设计理念，能够准确凸显项目特点，全面具体的文字阐述</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en-US" w:bidi="ar-SA"/>
              </w:rPr>
              <w:t>②</w:t>
            </w:r>
            <w:r>
              <w:rPr>
                <w:rFonts w:hint="eastAsia" w:ascii="宋体" w:hAnsi="宋体" w:eastAsia="宋体" w:cs="宋体"/>
                <w:color w:val="auto"/>
                <w:sz w:val="24"/>
                <w:szCs w:val="24"/>
                <w:highlight w:val="none"/>
                <w:lang w:val="en-US" w:eastAsia="en-US"/>
              </w:rPr>
              <w:t>层次分明（次序清晰，前后有序，不存在相互矛盾、杂乱无章等情形）且具有合理性（符合实际，不存在夸大、凭空编造、内容缺陷、无法实施等情形）</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en-US" w:bidi="ar-SA"/>
              </w:rPr>
              <w:t>③</w:t>
            </w:r>
            <w:r>
              <w:rPr>
                <w:rFonts w:hint="eastAsia" w:ascii="宋体" w:hAnsi="宋体" w:eastAsia="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en-US" w:bidi="ar-SA"/>
              </w:rPr>
              <w:t>车厢内部空间</w:t>
            </w:r>
            <w:r>
              <w:rPr>
                <w:rFonts w:hint="eastAsia" w:ascii="宋体" w:hAnsi="宋体" w:eastAsia="宋体" w:cs="宋体"/>
                <w:color w:val="auto"/>
                <w:kern w:val="2"/>
                <w:sz w:val="24"/>
                <w:szCs w:val="24"/>
                <w:highlight w:val="none"/>
                <w:lang w:val="en-US" w:eastAsia="zh-CN" w:bidi="ar-SA"/>
              </w:rPr>
              <w:t>配套</w:t>
            </w:r>
            <w:r>
              <w:rPr>
                <w:rFonts w:hint="eastAsia" w:ascii="宋体" w:hAnsi="宋体" w:eastAsia="宋体" w:cs="宋体"/>
                <w:color w:val="auto"/>
                <w:kern w:val="2"/>
                <w:sz w:val="24"/>
                <w:szCs w:val="24"/>
                <w:highlight w:val="none"/>
                <w:lang w:val="en-US" w:eastAsia="en-US" w:bidi="ar-SA"/>
              </w:rPr>
              <w:t>意向图</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④车厢内部空间三维效果图及实施方(匹配设计理念和项目特色)</w:t>
            </w:r>
            <w:r>
              <w:rPr>
                <w:rFonts w:hint="eastAsia" w:ascii="宋体" w:hAnsi="宋体" w:cs="宋体"/>
                <w:color w:val="auto"/>
                <w:kern w:val="2"/>
                <w:sz w:val="24"/>
                <w:szCs w:val="24"/>
                <w:highlight w:val="none"/>
                <w:lang w:val="en-US" w:eastAsia="zh-CN" w:bidi="ar-SA"/>
              </w:rPr>
              <w:t>）进行评分</w:t>
            </w:r>
            <w:r>
              <w:rPr>
                <w:rFonts w:hint="eastAsia" w:ascii="宋体" w:hAnsi="宋体" w:eastAsia="宋体" w:cs="宋体"/>
                <w:color w:val="auto"/>
                <w:kern w:val="2"/>
                <w:sz w:val="24"/>
                <w:szCs w:val="24"/>
                <w:highlight w:val="none"/>
                <w:lang w:val="en-US" w:eastAsia="en-US" w:bidi="ar-SA"/>
              </w:rPr>
              <w:t>：</w:t>
            </w:r>
            <w:r>
              <w:rPr>
                <w:rFonts w:hint="eastAsia" w:ascii="宋体" w:hAnsi="宋体" w:eastAsia="宋体" w:cs="宋体"/>
                <w:color w:val="auto"/>
                <w:kern w:val="2"/>
                <w:sz w:val="24"/>
                <w:szCs w:val="24"/>
                <w:highlight w:val="none"/>
                <w:lang w:val="en-US" w:eastAsia="zh-CN" w:bidi="ar-SA"/>
              </w:rPr>
              <w:t>包含</w:t>
            </w:r>
            <w:r>
              <w:rPr>
                <w:rFonts w:hint="eastAsia" w:ascii="宋体" w:hAnsi="宋体" w:cs="宋体"/>
                <w:color w:val="auto"/>
                <w:kern w:val="2"/>
                <w:sz w:val="24"/>
                <w:szCs w:val="24"/>
                <w:highlight w:val="none"/>
                <w:lang w:val="en-US" w:eastAsia="zh-CN" w:bidi="ar-SA"/>
              </w:rPr>
              <w:t>以上全部</w:t>
            </w:r>
            <w:r>
              <w:rPr>
                <w:rFonts w:hint="eastAsia" w:ascii="宋体" w:hAnsi="宋体" w:eastAsia="宋体" w:cs="宋体"/>
                <w:color w:val="auto"/>
                <w:kern w:val="2"/>
                <w:sz w:val="24"/>
                <w:szCs w:val="24"/>
                <w:highlight w:val="none"/>
                <w:lang w:val="en-US" w:eastAsia="zh-CN" w:bidi="ar-SA"/>
              </w:rPr>
              <w:t>4项</w:t>
            </w:r>
            <w:r>
              <w:rPr>
                <w:rFonts w:hint="eastAsia" w:ascii="宋体" w:hAnsi="宋体" w:cs="宋体"/>
                <w:color w:val="auto"/>
                <w:kern w:val="2"/>
                <w:sz w:val="24"/>
                <w:szCs w:val="24"/>
                <w:highlight w:val="none"/>
                <w:lang w:val="en-US" w:eastAsia="zh-CN" w:bidi="ar-SA"/>
              </w:rPr>
              <w:t>内容，</w:t>
            </w:r>
            <w:r>
              <w:rPr>
                <w:rFonts w:hint="eastAsia" w:ascii="宋体" w:hAnsi="宋体" w:eastAsia="宋体" w:cs="宋体"/>
                <w:color w:val="auto"/>
                <w:kern w:val="2"/>
                <w:sz w:val="24"/>
                <w:szCs w:val="24"/>
                <w:highlight w:val="none"/>
                <w:lang w:val="en-US" w:eastAsia="zh-CN" w:bidi="ar-SA"/>
              </w:rPr>
              <w:t>与项目需求吻合、思路清晰、层次细化，有具体详细的阐述</w:t>
            </w:r>
            <w:r>
              <w:rPr>
                <w:rFonts w:hint="eastAsia" w:ascii="宋体" w:hAnsi="宋体" w:cs="宋体"/>
                <w:color w:val="auto"/>
                <w:kern w:val="2"/>
                <w:sz w:val="24"/>
                <w:szCs w:val="24"/>
                <w:highlight w:val="none"/>
                <w:lang w:val="en-US" w:eastAsia="zh-CN" w:bidi="ar-SA"/>
              </w:rPr>
              <w:t>，且效果图表现突出</w:t>
            </w:r>
            <w:r>
              <w:rPr>
                <w:rFonts w:hint="eastAsia" w:ascii="宋体" w:hAnsi="宋体" w:eastAsia="宋体" w:cs="宋体"/>
                <w:color w:val="auto"/>
                <w:kern w:val="2"/>
                <w:sz w:val="24"/>
                <w:szCs w:val="24"/>
                <w:highlight w:val="none"/>
                <w:lang w:val="en-US" w:eastAsia="zh-CN" w:bidi="ar-SA"/>
              </w:rPr>
              <w:t>的得5分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满足</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项要求</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与项目需求</w:t>
            </w:r>
            <w:r>
              <w:rPr>
                <w:rFonts w:hint="eastAsia" w:ascii="宋体" w:hAnsi="宋体" w:cs="宋体"/>
                <w:color w:val="auto"/>
                <w:kern w:val="2"/>
                <w:sz w:val="24"/>
                <w:szCs w:val="24"/>
                <w:highlight w:val="none"/>
                <w:lang w:val="en-US" w:eastAsia="zh-CN" w:bidi="ar-SA"/>
              </w:rPr>
              <w:t>较为</w:t>
            </w:r>
            <w:r>
              <w:rPr>
                <w:rFonts w:hint="eastAsia" w:ascii="宋体" w:hAnsi="宋体" w:eastAsia="宋体" w:cs="宋体"/>
                <w:color w:val="auto"/>
                <w:kern w:val="2"/>
                <w:sz w:val="24"/>
                <w:szCs w:val="24"/>
                <w:highlight w:val="none"/>
                <w:lang w:val="en-US" w:eastAsia="zh-CN" w:bidi="ar-SA"/>
              </w:rPr>
              <w:t>吻合、思路</w:t>
            </w:r>
            <w:r>
              <w:rPr>
                <w:rFonts w:hint="eastAsia" w:ascii="宋体" w:hAnsi="宋体" w:cs="宋体"/>
                <w:color w:val="auto"/>
                <w:kern w:val="2"/>
                <w:sz w:val="24"/>
                <w:szCs w:val="24"/>
                <w:highlight w:val="none"/>
                <w:lang w:val="en-US" w:eastAsia="zh-CN" w:bidi="ar-SA"/>
              </w:rPr>
              <w:t>较为</w:t>
            </w:r>
            <w:r>
              <w:rPr>
                <w:rFonts w:hint="eastAsia" w:ascii="宋体" w:hAnsi="宋体" w:eastAsia="宋体" w:cs="宋体"/>
                <w:color w:val="auto"/>
                <w:kern w:val="2"/>
                <w:sz w:val="24"/>
                <w:szCs w:val="24"/>
                <w:highlight w:val="none"/>
                <w:lang w:val="en-US" w:eastAsia="zh-CN" w:bidi="ar-SA"/>
              </w:rPr>
              <w:t>清晰的得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满足</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项</w:t>
            </w:r>
            <w:r>
              <w:rPr>
                <w:rFonts w:hint="eastAsia" w:ascii="宋体" w:hAnsi="宋体" w:cs="宋体"/>
                <w:color w:val="auto"/>
                <w:kern w:val="2"/>
                <w:sz w:val="24"/>
                <w:szCs w:val="24"/>
                <w:highlight w:val="none"/>
                <w:lang w:val="en-US" w:eastAsia="zh-CN" w:bidi="ar-SA"/>
              </w:rPr>
              <w:t>及以下</w:t>
            </w:r>
            <w:r>
              <w:rPr>
                <w:rFonts w:hint="eastAsia" w:ascii="宋体" w:hAnsi="宋体" w:eastAsia="宋体" w:cs="宋体"/>
                <w:color w:val="auto"/>
                <w:kern w:val="2"/>
                <w:sz w:val="24"/>
                <w:szCs w:val="24"/>
                <w:highlight w:val="none"/>
                <w:lang w:val="en-US" w:eastAsia="zh-CN" w:bidi="ar-SA"/>
              </w:rPr>
              <w:t>要求的得1分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未提供的本项不得分。</w:t>
            </w:r>
          </w:p>
        </w:tc>
      </w:tr>
      <w:tr w14:paraId="6850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23005B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sz w:val="24"/>
                <w:szCs w:val="24"/>
                <w:highlight w:val="none"/>
                <w:lang w:eastAsia="zh-CN"/>
              </w:rPr>
              <w:t>改造</w:t>
            </w:r>
            <w:r>
              <w:rPr>
                <w:rFonts w:hint="eastAsia" w:ascii="宋体" w:hAnsi="宋体" w:cs="宋体"/>
                <w:sz w:val="24"/>
                <w:szCs w:val="24"/>
                <w:highlight w:val="none"/>
                <w:lang w:val="en-US" w:eastAsia="zh-CN"/>
              </w:rPr>
              <w:t>技术</w:t>
            </w:r>
            <w:r>
              <w:rPr>
                <w:rFonts w:hint="eastAsia" w:ascii="宋体" w:hAnsi="宋体" w:eastAsia="宋体" w:cs="宋体"/>
                <w:sz w:val="24"/>
                <w:szCs w:val="24"/>
                <w:highlight w:val="none"/>
                <w:lang w:eastAsia="zh-CN"/>
              </w:rPr>
              <w:t>方案及</w:t>
            </w:r>
            <w:r>
              <w:rPr>
                <w:rFonts w:hint="eastAsia" w:ascii="宋体" w:hAnsi="宋体" w:cs="宋体"/>
                <w:sz w:val="24"/>
                <w:szCs w:val="24"/>
                <w:highlight w:val="none"/>
                <w:lang w:val="en-US" w:eastAsia="zh-CN"/>
              </w:rPr>
              <w:t>平面图</w:t>
            </w:r>
          </w:p>
        </w:tc>
        <w:tc>
          <w:tcPr>
            <w:tcW w:w="727" w:type="pct"/>
            <w:vAlign w:val="center"/>
          </w:tcPr>
          <w:p w14:paraId="219F0D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p>
        </w:tc>
        <w:tc>
          <w:tcPr>
            <w:tcW w:w="3437" w:type="pct"/>
            <w:vAlign w:val="center"/>
          </w:tcPr>
          <w:p w14:paraId="5F0F52C6">
            <w:pPr>
              <w:pStyle w:val="106"/>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kern w:val="2"/>
                <w:position w:val="0"/>
                <w:sz w:val="24"/>
                <w:szCs w:val="24"/>
                <w:highlight w:val="none"/>
                <w:lang w:val="en-US" w:eastAsia="zh-CN" w:bidi="ar-SA"/>
              </w:rPr>
              <w:t>A</w:t>
            </w:r>
            <w:r>
              <w:rPr>
                <w:rFonts w:hint="eastAsia" w:cs="宋体"/>
                <w:b w:val="0"/>
                <w:bCs w:val="0"/>
                <w:color w:val="auto"/>
                <w:spacing w:val="0"/>
                <w:kern w:val="2"/>
                <w:position w:val="0"/>
                <w:sz w:val="24"/>
                <w:szCs w:val="24"/>
                <w:highlight w:val="none"/>
                <w:lang w:val="en-US" w:eastAsia="zh-CN" w:bidi="ar-SA"/>
              </w:rPr>
              <w:t>3</w:t>
            </w:r>
            <w:r>
              <w:rPr>
                <w:rFonts w:hint="eastAsia" w:ascii="宋体" w:hAnsi="宋体" w:eastAsia="宋体" w:cs="宋体"/>
                <w:b w:val="0"/>
                <w:bCs w:val="0"/>
                <w:color w:val="auto"/>
                <w:spacing w:val="0"/>
                <w:kern w:val="2"/>
                <w:position w:val="0"/>
                <w:sz w:val="24"/>
                <w:szCs w:val="24"/>
                <w:highlight w:val="none"/>
                <w:lang w:val="en-US" w:eastAsia="zh-CN" w:bidi="ar-SA"/>
              </w:rPr>
              <w:t>根</w:t>
            </w:r>
            <w:r>
              <w:rPr>
                <w:rFonts w:hint="eastAsia" w:ascii="宋体" w:hAnsi="宋体" w:eastAsia="宋体" w:cs="宋体"/>
                <w:color w:val="auto"/>
                <w:sz w:val="24"/>
                <w:szCs w:val="24"/>
                <w:highlight w:val="none"/>
              </w:rPr>
              <w:t>据投标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b w:val="0"/>
                <w:bCs w:val="0"/>
                <w:color w:val="auto"/>
                <w:spacing w:val="0"/>
                <w:kern w:val="2"/>
                <w:position w:val="0"/>
                <w:sz w:val="24"/>
                <w:szCs w:val="24"/>
                <w:highlight w:val="none"/>
                <w:lang w:val="en-US" w:eastAsia="zh-CN" w:bidi="ar-SA"/>
              </w:rPr>
              <w:t>提供</w:t>
            </w:r>
            <w:r>
              <w:rPr>
                <w:rFonts w:hint="eastAsia" w:cs="宋体"/>
                <w:b w:val="0"/>
                <w:bCs w:val="0"/>
                <w:color w:val="auto"/>
                <w:spacing w:val="0"/>
                <w:kern w:val="2"/>
                <w:position w:val="0"/>
                <w:sz w:val="24"/>
                <w:szCs w:val="24"/>
                <w:highlight w:val="none"/>
                <w:lang w:val="en-US" w:eastAsia="zh-CN" w:bidi="ar-SA"/>
              </w:rPr>
              <w:t>改造技术</w:t>
            </w:r>
            <w:r>
              <w:rPr>
                <w:rFonts w:hint="eastAsia" w:ascii="宋体" w:hAnsi="宋体" w:eastAsia="宋体" w:cs="宋体"/>
                <w:b w:val="0"/>
                <w:bCs w:val="0"/>
                <w:color w:val="auto"/>
                <w:spacing w:val="0"/>
                <w:kern w:val="2"/>
                <w:position w:val="0"/>
                <w:sz w:val="24"/>
                <w:szCs w:val="24"/>
                <w:highlight w:val="none"/>
                <w:lang w:val="en-US" w:eastAsia="zh-CN" w:bidi="ar-SA"/>
              </w:rPr>
              <w:t>方案包含但不限于：列车改造</w:t>
            </w:r>
            <w:r>
              <w:rPr>
                <w:rFonts w:hint="eastAsia" w:cs="宋体"/>
                <w:b w:val="0"/>
                <w:bCs w:val="0"/>
                <w:color w:val="auto"/>
                <w:spacing w:val="0"/>
                <w:kern w:val="2"/>
                <w:position w:val="0"/>
                <w:sz w:val="24"/>
                <w:szCs w:val="24"/>
                <w:highlight w:val="none"/>
                <w:lang w:val="en-US" w:eastAsia="zh-CN" w:bidi="ar-SA"/>
              </w:rPr>
              <w:t>技术</w:t>
            </w:r>
            <w:r>
              <w:rPr>
                <w:rFonts w:hint="eastAsia" w:ascii="宋体" w:hAnsi="宋体" w:eastAsia="宋体" w:cs="宋体"/>
                <w:b w:val="0"/>
                <w:bCs w:val="0"/>
                <w:color w:val="auto"/>
                <w:spacing w:val="0"/>
                <w:kern w:val="2"/>
                <w:position w:val="0"/>
                <w:sz w:val="24"/>
                <w:szCs w:val="24"/>
                <w:highlight w:val="none"/>
                <w:lang w:val="en-US" w:eastAsia="zh-CN" w:bidi="ar-SA"/>
              </w:rPr>
              <w:t>方案、</w:t>
            </w:r>
            <w:r>
              <w:rPr>
                <w:rFonts w:hint="eastAsia" w:cs="宋体"/>
                <w:b w:val="0"/>
                <w:bCs w:val="0"/>
                <w:color w:val="auto"/>
                <w:spacing w:val="0"/>
                <w:kern w:val="2"/>
                <w:position w:val="0"/>
                <w:sz w:val="24"/>
                <w:szCs w:val="24"/>
                <w:highlight w:val="none"/>
                <w:lang w:val="en-US" w:eastAsia="zh-CN" w:bidi="ar-SA"/>
              </w:rPr>
              <w:t>平面图</w:t>
            </w:r>
            <w:r>
              <w:rPr>
                <w:rFonts w:hint="eastAsia" w:ascii="宋体" w:hAnsi="宋体" w:eastAsia="宋体" w:cs="宋体"/>
                <w:b w:val="0"/>
                <w:bCs w:val="0"/>
                <w:color w:val="auto"/>
                <w:spacing w:val="0"/>
                <w:kern w:val="2"/>
                <w:position w:val="0"/>
                <w:sz w:val="24"/>
                <w:szCs w:val="24"/>
                <w:highlight w:val="none"/>
                <w:lang w:val="en-US" w:eastAsia="zh-CN" w:bidi="ar-SA"/>
              </w:rPr>
              <w:t>等内容，列车</w:t>
            </w:r>
            <w:r>
              <w:rPr>
                <w:rFonts w:hint="eastAsia" w:cs="宋体"/>
                <w:b w:val="0"/>
                <w:bCs w:val="0"/>
                <w:color w:val="auto"/>
                <w:spacing w:val="0"/>
                <w:kern w:val="2"/>
                <w:position w:val="0"/>
                <w:sz w:val="24"/>
                <w:szCs w:val="24"/>
                <w:highlight w:val="none"/>
                <w:lang w:val="en-US" w:eastAsia="zh-CN" w:bidi="ar-SA"/>
              </w:rPr>
              <w:t>改造技术</w:t>
            </w:r>
            <w:r>
              <w:rPr>
                <w:rFonts w:hint="eastAsia" w:ascii="宋体" w:hAnsi="宋体" w:eastAsia="宋体" w:cs="宋体"/>
                <w:b w:val="0"/>
                <w:bCs w:val="0"/>
                <w:color w:val="auto"/>
                <w:spacing w:val="0"/>
                <w:kern w:val="2"/>
                <w:position w:val="0"/>
                <w:sz w:val="24"/>
                <w:szCs w:val="24"/>
                <w:highlight w:val="none"/>
                <w:lang w:val="en-US" w:eastAsia="zh-CN" w:bidi="ar-SA"/>
              </w:rPr>
              <w:t>方案、</w:t>
            </w:r>
            <w:r>
              <w:rPr>
                <w:rFonts w:hint="eastAsia" w:cs="宋体"/>
                <w:b w:val="0"/>
                <w:bCs w:val="0"/>
                <w:color w:val="auto"/>
                <w:spacing w:val="0"/>
                <w:kern w:val="2"/>
                <w:position w:val="0"/>
                <w:sz w:val="24"/>
                <w:szCs w:val="24"/>
                <w:highlight w:val="none"/>
                <w:lang w:val="en-US" w:eastAsia="zh-CN" w:bidi="ar-SA"/>
              </w:rPr>
              <w:t>平面图</w:t>
            </w:r>
            <w:r>
              <w:rPr>
                <w:rFonts w:hint="eastAsia" w:ascii="宋体" w:hAnsi="宋体" w:eastAsia="宋体" w:cs="宋体"/>
                <w:b w:val="0"/>
                <w:bCs w:val="0"/>
                <w:color w:val="auto"/>
                <w:spacing w:val="0"/>
                <w:kern w:val="2"/>
                <w:position w:val="0"/>
                <w:sz w:val="24"/>
                <w:szCs w:val="24"/>
                <w:highlight w:val="none"/>
                <w:lang w:val="en-US" w:eastAsia="zh-CN" w:bidi="ar-SA"/>
              </w:rPr>
              <w:t>等</w:t>
            </w:r>
            <w:r>
              <w:rPr>
                <w:rFonts w:hint="eastAsia" w:ascii="宋体" w:hAnsi="宋体" w:eastAsia="宋体" w:cs="宋体"/>
                <w:color w:val="auto"/>
                <w:sz w:val="24"/>
                <w:szCs w:val="24"/>
                <w:highlight w:val="none"/>
                <w:lang w:val="en-US" w:eastAsia="en-US"/>
              </w:rPr>
              <w:t>内容编制要求</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en-US"/>
              </w:rPr>
              <w:t>具有针对性（能够准确凸显项目特点、要点）且全面完整（有具体详尽的文字阐述）；②层次分明（次序清晰，前后有序，不存在相互矛盾、杂乱无章等情形）且具有合理性（符合实际，不存在夸大、凭空编造、内容缺陷、无法实施等情形）</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③符合国家标准及规程、规范要求，内容科学严谨、 经济合理（符合采购项目实际需求、有利于项目实施）</w:t>
            </w:r>
            <w:r>
              <w:rPr>
                <w:rFonts w:hint="eastAsia"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cs="宋体"/>
                <w:b w:val="0"/>
                <w:bCs w:val="0"/>
                <w:color w:val="auto"/>
                <w:spacing w:val="0"/>
                <w:kern w:val="2"/>
                <w:position w:val="0"/>
                <w:sz w:val="24"/>
                <w:szCs w:val="24"/>
                <w:highlight w:val="none"/>
                <w:lang w:val="en-US" w:eastAsia="zh-CN" w:bidi="ar-SA"/>
              </w:rPr>
              <w:t>技术</w:t>
            </w:r>
            <w:r>
              <w:rPr>
                <w:rFonts w:hint="eastAsia" w:ascii="宋体" w:hAnsi="宋体" w:eastAsia="宋体" w:cs="宋体"/>
                <w:b w:val="0"/>
                <w:bCs w:val="0"/>
                <w:color w:val="auto"/>
                <w:spacing w:val="0"/>
                <w:kern w:val="2"/>
                <w:position w:val="0"/>
                <w:sz w:val="24"/>
                <w:szCs w:val="24"/>
                <w:highlight w:val="none"/>
                <w:lang w:val="en-US" w:eastAsia="zh-CN" w:bidi="ar-SA"/>
              </w:rPr>
              <w:t>方案、</w:t>
            </w:r>
            <w:r>
              <w:rPr>
                <w:rFonts w:hint="eastAsia" w:cs="宋体"/>
                <w:b w:val="0"/>
                <w:bCs w:val="0"/>
                <w:color w:val="auto"/>
                <w:spacing w:val="0"/>
                <w:kern w:val="2"/>
                <w:position w:val="0"/>
                <w:sz w:val="24"/>
                <w:szCs w:val="24"/>
                <w:highlight w:val="none"/>
                <w:lang w:val="en-US" w:eastAsia="zh-CN" w:bidi="ar-SA"/>
              </w:rPr>
              <w:t>平面图</w:t>
            </w:r>
            <w:r>
              <w:rPr>
                <w:rFonts w:hint="eastAsia" w:ascii="宋体" w:hAnsi="宋体" w:eastAsia="宋体" w:cs="宋体"/>
                <w:b w:val="0"/>
                <w:bCs w:val="0"/>
                <w:color w:val="auto"/>
                <w:spacing w:val="0"/>
                <w:kern w:val="2"/>
                <w:position w:val="0"/>
                <w:sz w:val="24"/>
                <w:szCs w:val="24"/>
                <w:highlight w:val="none"/>
                <w:lang w:val="en-US" w:eastAsia="zh-CN" w:bidi="ar-SA"/>
              </w:rPr>
              <w:t>内容完整</w:t>
            </w:r>
            <w:r>
              <w:rPr>
                <w:rFonts w:hint="eastAsia" w:cs="宋体"/>
                <w:b w:val="0"/>
                <w:bCs w:val="0"/>
                <w:color w:val="auto"/>
                <w:spacing w:val="0"/>
                <w:kern w:val="2"/>
                <w:position w:val="0"/>
                <w:sz w:val="24"/>
                <w:szCs w:val="24"/>
                <w:highlight w:val="none"/>
                <w:lang w:val="en-US" w:eastAsia="zh-CN" w:bidi="ar-SA"/>
              </w:rPr>
              <w:t>，</w:t>
            </w:r>
            <w:r>
              <w:rPr>
                <w:rFonts w:hint="eastAsia" w:ascii="宋体" w:hAnsi="宋体" w:eastAsia="宋体" w:cs="宋体"/>
                <w:b w:val="0"/>
                <w:bCs w:val="0"/>
                <w:color w:val="auto"/>
                <w:spacing w:val="0"/>
                <w:kern w:val="2"/>
                <w:position w:val="0"/>
                <w:sz w:val="24"/>
                <w:szCs w:val="24"/>
                <w:highlight w:val="none"/>
                <w:lang w:val="en-US" w:eastAsia="zh-CN" w:bidi="ar-SA"/>
              </w:rPr>
              <w:t>与项目需求吻合、思路清晰、层次细化，有具体详细的阐述且符合项目要求的得</w:t>
            </w:r>
            <w:r>
              <w:rPr>
                <w:rFonts w:hint="eastAsia" w:cs="宋体"/>
                <w:b w:val="0"/>
                <w:bCs w:val="0"/>
                <w:color w:val="auto"/>
                <w:spacing w:val="0"/>
                <w:kern w:val="2"/>
                <w:position w:val="0"/>
                <w:sz w:val="24"/>
                <w:szCs w:val="24"/>
                <w:highlight w:val="none"/>
                <w:lang w:val="en-US" w:eastAsia="zh-CN" w:bidi="ar-SA"/>
              </w:rPr>
              <w:t>5</w:t>
            </w:r>
            <w:r>
              <w:rPr>
                <w:rFonts w:hint="eastAsia" w:ascii="宋体" w:hAnsi="宋体" w:eastAsia="宋体" w:cs="宋体"/>
                <w:b w:val="0"/>
                <w:bCs w:val="0"/>
                <w:color w:val="auto"/>
                <w:spacing w:val="0"/>
                <w:kern w:val="2"/>
                <w:position w:val="0"/>
                <w:sz w:val="24"/>
                <w:szCs w:val="24"/>
                <w:highlight w:val="none"/>
                <w:lang w:val="en-US" w:eastAsia="zh-CN" w:bidi="ar-SA"/>
              </w:rPr>
              <w:t>分；与项目需求基本吻合、思路不清晰、层次不细化，有详细的阐述且符合项目要求的得</w:t>
            </w:r>
            <w:r>
              <w:rPr>
                <w:rFonts w:hint="eastAsia" w:cs="宋体"/>
                <w:b w:val="0"/>
                <w:bCs w:val="0"/>
                <w:color w:val="auto"/>
                <w:spacing w:val="0"/>
                <w:kern w:val="2"/>
                <w:position w:val="0"/>
                <w:sz w:val="24"/>
                <w:szCs w:val="24"/>
                <w:highlight w:val="none"/>
                <w:lang w:val="en-US" w:eastAsia="zh-CN" w:bidi="ar-SA"/>
              </w:rPr>
              <w:t>3</w:t>
            </w:r>
            <w:r>
              <w:rPr>
                <w:rFonts w:hint="eastAsia" w:ascii="宋体" w:hAnsi="宋体" w:eastAsia="宋体" w:cs="宋体"/>
                <w:b w:val="0"/>
                <w:bCs w:val="0"/>
                <w:color w:val="auto"/>
                <w:spacing w:val="0"/>
                <w:kern w:val="2"/>
                <w:position w:val="0"/>
                <w:sz w:val="24"/>
                <w:szCs w:val="24"/>
                <w:highlight w:val="none"/>
                <w:lang w:val="en-US" w:eastAsia="zh-CN" w:bidi="ar-SA"/>
              </w:rPr>
              <w:t>分；内容存在缺陷或不足的得</w:t>
            </w:r>
            <w:r>
              <w:rPr>
                <w:rFonts w:hint="eastAsia" w:cs="宋体"/>
                <w:b w:val="0"/>
                <w:bCs w:val="0"/>
                <w:color w:val="auto"/>
                <w:spacing w:val="0"/>
                <w:kern w:val="2"/>
                <w:position w:val="0"/>
                <w:sz w:val="24"/>
                <w:szCs w:val="24"/>
                <w:highlight w:val="none"/>
                <w:lang w:val="en-US" w:eastAsia="zh-CN" w:bidi="ar-SA"/>
              </w:rPr>
              <w:t>1</w:t>
            </w:r>
            <w:r>
              <w:rPr>
                <w:rFonts w:hint="eastAsia" w:ascii="宋体" w:hAnsi="宋体" w:eastAsia="宋体" w:cs="宋体"/>
                <w:b w:val="0"/>
                <w:bCs w:val="0"/>
                <w:color w:val="auto"/>
                <w:spacing w:val="0"/>
                <w:kern w:val="2"/>
                <w:position w:val="0"/>
                <w:sz w:val="24"/>
                <w:szCs w:val="24"/>
                <w:highlight w:val="none"/>
                <w:lang w:val="en-US" w:eastAsia="zh-CN" w:bidi="ar-SA"/>
              </w:rPr>
              <w:t>分；未提供的本项不得分。</w:t>
            </w:r>
          </w:p>
        </w:tc>
      </w:tr>
      <w:tr w14:paraId="39CB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74E47D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rPr>
              <w:t>质量承诺及保证措施</w:t>
            </w:r>
          </w:p>
        </w:tc>
        <w:tc>
          <w:tcPr>
            <w:tcW w:w="727" w:type="pct"/>
            <w:vAlign w:val="center"/>
          </w:tcPr>
          <w:p w14:paraId="4ACBB3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3437" w:type="pct"/>
            <w:vAlign w:val="center"/>
          </w:tcPr>
          <w:p w14:paraId="5EC4516A">
            <w:pPr>
              <w:keepNext w:val="0"/>
              <w:keepLines w:val="0"/>
              <w:pageBreakBefore w:val="0"/>
              <w:tabs>
                <w:tab w:val="left" w:pos="2160"/>
                <w:tab w:val="left" w:pos="3255"/>
                <w:tab w:val="left" w:pos="483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kern w:val="2"/>
                <w:position w:val="0"/>
                <w:sz w:val="24"/>
                <w:szCs w:val="24"/>
                <w:lang w:val="en-US" w:eastAsia="zh-CN" w:bidi="ar-SA"/>
              </w:rPr>
              <w:t>A</w:t>
            </w:r>
            <w:r>
              <w:rPr>
                <w:rFonts w:hint="eastAsia" w:ascii="宋体" w:hAnsi="宋体" w:cs="宋体"/>
                <w:b w:val="0"/>
                <w:bCs w:val="0"/>
                <w:color w:val="auto"/>
                <w:spacing w:val="0"/>
                <w:kern w:val="2"/>
                <w:position w:val="0"/>
                <w:sz w:val="24"/>
                <w:szCs w:val="24"/>
                <w:lang w:val="en-US" w:eastAsia="zh-CN" w:bidi="ar-SA"/>
              </w:rPr>
              <w:t>4</w:t>
            </w:r>
            <w:r>
              <w:rPr>
                <w:rFonts w:hint="eastAsia" w:ascii="宋体" w:hAnsi="宋体" w:eastAsia="宋体" w:cs="宋体"/>
                <w:color w:val="auto"/>
                <w:sz w:val="24"/>
                <w:szCs w:val="24"/>
              </w:rPr>
              <w:t>根据投标</w:t>
            </w:r>
            <w:r>
              <w:rPr>
                <w:rFonts w:hint="eastAsia" w:ascii="宋体" w:hAnsi="宋体" w:eastAsia="宋体" w:cs="宋体"/>
                <w:color w:val="auto"/>
                <w:sz w:val="24"/>
                <w:szCs w:val="24"/>
                <w:lang w:val="en-US" w:eastAsia="zh-CN"/>
              </w:rPr>
              <w:t>人</w:t>
            </w:r>
            <w:r>
              <w:rPr>
                <w:rFonts w:hint="eastAsia" w:ascii="宋体" w:hAnsi="宋体" w:eastAsia="宋体" w:cs="宋体"/>
                <w:b w:val="0"/>
                <w:bCs w:val="0"/>
                <w:color w:val="auto"/>
                <w:spacing w:val="0"/>
                <w:kern w:val="2"/>
                <w:position w:val="0"/>
                <w:sz w:val="24"/>
                <w:szCs w:val="24"/>
                <w:lang w:val="en-US" w:eastAsia="zh-CN" w:bidi="ar-SA"/>
              </w:rPr>
              <w:t>提供</w:t>
            </w:r>
            <w:r>
              <w:rPr>
                <w:rFonts w:hint="eastAsia" w:ascii="宋体" w:hAnsi="宋体" w:eastAsia="宋体" w:cs="宋体"/>
                <w:color w:val="000000"/>
                <w:sz w:val="24"/>
                <w:szCs w:val="24"/>
              </w:rPr>
              <w:t>质量承诺及保证措施</w:t>
            </w:r>
            <w:r>
              <w:rPr>
                <w:rFonts w:hint="eastAsia" w:ascii="宋体" w:hAnsi="宋体" w:eastAsia="宋体" w:cs="宋体"/>
                <w:color w:val="000000"/>
                <w:sz w:val="24"/>
                <w:szCs w:val="24"/>
                <w:lang w:val="en-US" w:eastAsia="zh-CN"/>
              </w:rPr>
              <w:t>进行评分。</w:t>
            </w:r>
            <w:r>
              <w:rPr>
                <w:rFonts w:hint="eastAsia" w:ascii="宋体" w:hAnsi="宋体" w:eastAsia="宋体" w:cs="宋体"/>
                <w:color w:val="000000"/>
                <w:sz w:val="24"/>
                <w:szCs w:val="24"/>
              </w:rPr>
              <w:t>措施</w:t>
            </w:r>
            <w:r>
              <w:rPr>
                <w:rFonts w:hint="eastAsia" w:ascii="宋体" w:hAnsi="宋体" w:eastAsia="宋体" w:cs="宋体"/>
                <w:color w:val="000000"/>
                <w:sz w:val="24"/>
                <w:szCs w:val="24"/>
                <w:lang w:val="en-US" w:eastAsia="zh-CN"/>
              </w:rPr>
              <w:t>方案</w:t>
            </w:r>
            <w:r>
              <w:rPr>
                <w:rFonts w:hint="eastAsia" w:ascii="宋体" w:hAnsi="宋体" w:eastAsia="宋体" w:cs="宋体"/>
                <w:color w:val="auto"/>
                <w:sz w:val="24"/>
                <w:szCs w:val="24"/>
              </w:rPr>
              <w:t>有具体的违约责任承诺及违约罚款，质量承诺及保证措施具体有针对性，各项措施目标明确，管理机构健全、职责分工明确的得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000000"/>
                <w:sz w:val="24"/>
                <w:szCs w:val="24"/>
              </w:rPr>
              <w:t>措施</w:t>
            </w:r>
            <w:r>
              <w:rPr>
                <w:rFonts w:hint="eastAsia" w:ascii="宋体" w:hAnsi="宋体" w:eastAsia="宋体" w:cs="宋体"/>
                <w:color w:val="000000"/>
                <w:sz w:val="24"/>
                <w:szCs w:val="24"/>
                <w:lang w:val="en-US" w:eastAsia="zh-CN"/>
              </w:rPr>
              <w:t>方案</w:t>
            </w:r>
            <w:r>
              <w:rPr>
                <w:rFonts w:hint="eastAsia" w:ascii="宋体" w:hAnsi="宋体" w:eastAsia="宋体" w:cs="宋体"/>
                <w:color w:val="auto"/>
                <w:sz w:val="24"/>
                <w:szCs w:val="24"/>
              </w:rPr>
              <w:t>满足招标文件且有具体的违约责任承诺，保证措施基本达到要求但存在一些问题的得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000000"/>
                <w:sz w:val="24"/>
                <w:szCs w:val="24"/>
              </w:rPr>
              <w:t>措施</w:t>
            </w:r>
            <w:r>
              <w:rPr>
                <w:rFonts w:hint="eastAsia" w:ascii="宋体" w:hAnsi="宋体" w:eastAsia="宋体" w:cs="宋体"/>
                <w:color w:val="000000"/>
                <w:sz w:val="24"/>
                <w:szCs w:val="24"/>
                <w:lang w:val="en-US" w:eastAsia="zh-CN"/>
              </w:rPr>
              <w:t>方案</w:t>
            </w:r>
            <w:r>
              <w:rPr>
                <w:rFonts w:hint="eastAsia" w:ascii="宋体" w:hAnsi="宋体" w:eastAsia="宋体" w:cs="宋体"/>
                <w:color w:val="auto"/>
                <w:sz w:val="24"/>
                <w:szCs w:val="24"/>
              </w:rPr>
              <w:t>无违约责任或违约责任不具体</w:t>
            </w:r>
            <w:r>
              <w:rPr>
                <w:rFonts w:hint="eastAsia" w:ascii="宋体" w:hAnsi="宋体" w:eastAsia="宋体" w:cs="宋体"/>
                <w:color w:val="auto"/>
                <w:sz w:val="24"/>
                <w:szCs w:val="24"/>
                <w:lang w:val="en-US" w:eastAsia="zh-CN"/>
              </w:rPr>
              <w:t>的得1分；</w:t>
            </w:r>
            <w:r>
              <w:rPr>
                <w:rFonts w:hint="eastAsia" w:ascii="宋体" w:hAnsi="宋体" w:eastAsia="宋体" w:cs="宋体"/>
                <w:b w:val="0"/>
                <w:bCs w:val="0"/>
                <w:color w:val="auto"/>
                <w:spacing w:val="0"/>
                <w:kern w:val="2"/>
                <w:position w:val="0"/>
                <w:sz w:val="24"/>
                <w:szCs w:val="24"/>
                <w:lang w:val="en-US" w:eastAsia="zh-CN" w:bidi="ar-SA"/>
              </w:rPr>
              <w:t>未提供的本项不得分。</w:t>
            </w:r>
          </w:p>
        </w:tc>
      </w:tr>
      <w:tr w14:paraId="3E83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pct"/>
            <w:vAlign w:val="center"/>
          </w:tcPr>
          <w:p w14:paraId="1786AF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改造期限保证措施及承诺</w:t>
            </w:r>
          </w:p>
        </w:tc>
        <w:tc>
          <w:tcPr>
            <w:tcW w:w="727" w:type="pct"/>
            <w:vAlign w:val="center"/>
          </w:tcPr>
          <w:p w14:paraId="7C0D27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3437" w:type="pct"/>
            <w:vAlign w:val="center"/>
          </w:tcPr>
          <w:p w14:paraId="6709498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kern w:val="2"/>
                <w:position w:val="0"/>
                <w:sz w:val="24"/>
                <w:szCs w:val="24"/>
                <w:lang w:val="en-US" w:eastAsia="zh-CN" w:bidi="ar-SA"/>
              </w:rPr>
              <w:t>A</w:t>
            </w:r>
            <w:r>
              <w:rPr>
                <w:rFonts w:hint="eastAsia" w:ascii="宋体" w:hAnsi="宋体" w:cs="宋体"/>
                <w:b w:val="0"/>
                <w:bCs w:val="0"/>
                <w:color w:val="auto"/>
                <w:spacing w:val="0"/>
                <w:kern w:val="2"/>
                <w:position w:val="0"/>
                <w:sz w:val="24"/>
                <w:szCs w:val="24"/>
                <w:lang w:val="en-US" w:eastAsia="zh-CN" w:bidi="ar-SA"/>
              </w:rPr>
              <w:t>5</w:t>
            </w:r>
            <w:r>
              <w:rPr>
                <w:rFonts w:hint="eastAsia" w:ascii="宋体" w:hAnsi="宋体" w:eastAsia="宋体" w:cs="宋体"/>
                <w:color w:val="auto"/>
                <w:sz w:val="24"/>
                <w:szCs w:val="24"/>
              </w:rPr>
              <w:t>根据投标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提供的设计、改造、进程时间表和相关措施及承诺，约定设计出稿时间节点、装修样板时间节点，且时间节点需合理安排</w:t>
            </w:r>
            <w:r>
              <w:rPr>
                <w:rFonts w:hint="eastAsia" w:ascii="宋体" w:hAnsi="宋体" w:eastAsia="宋体" w:cs="宋体"/>
                <w:color w:val="auto"/>
                <w:sz w:val="24"/>
                <w:szCs w:val="24"/>
                <w:lang w:val="en-US" w:eastAsia="zh-CN"/>
              </w:rPr>
              <w:t>进行评分</w:t>
            </w:r>
            <w:r>
              <w:rPr>
                <w:rFonts w:hint="eastAsia" w:ascii="宋体" w:hAnsi="宋体" w:eastAsia="宋体" w:cs="宋体"/>
                <w:color w:val="auto"/>
                <w:sz w:val="24"/>
                <w:szCs w:val="24"/>
              </w:rPr>
              <w:t>。改造期限能满足项目要求，对遇到问题的响应及解决时限及时，保证措施具体准确，有具体的期限违约责任承诺的得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分；改造期限能基本满足项目要求，对遇到问题的响应及解决时限一般，保证措施一般的得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分；改造期限能基本满足项目要求，但无对遇到问题的响应及解决时限的承诺，保证措施不够全面的得1分</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pacing w:val="0"/>
                <w:kern w:val="2"/>
                <w:position w:val="0"/>
                <w:sz w:val="24"/>
                <w:szCs w:val="24"/>
                <w:lang w:val="en-US" w:eastAsia="zh-CN" w:bidi="ar-SA"/>
              </w:rPr>
              <w:t>未提供的本项不得分。</w:t>
            </w:r>
          </w:p>
        </w:tc>
      </w:tr>
      <w:tr w14:paraId="5CD9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pct"/>
            <w:vAlign w:val="center"/>
          </w:tcPr>
          <w:p w14:paraId="66ED9C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应急预案</w:t>
            </w:r>
          </w:p>
        </w:tc>
        <w:tc>
          <w:tcPr>
            <w:tcW w:w="727" w:type="pct"/>
            <w:vAlign w:val="center"/>
          </w:tcPr>
          <w:p w14:paraId="219996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3437" w:type="pct"/>
            <w:vAlign w:val="center"/>
          </w:tcPr>
          <w:p w14:paraId="7F231E5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val="0"/>
                <w:bCs w:val="0"/>
                <w:color w:val="auto"/>
                <w:spacing w:val="0"/>
                <w:kern w:val="2"/>
                <w:position w:val="0"/>
                <w:sz w:val="24"/>
                <w:szCs w:val="24"/>
                <w:lang w:val="en-US" w:eastAsia="zh-CN" w:bidi="ar-SA"/>
              </w:rPr>
              <w:t>A</w:t>
            </w:r>
            <w:r>
              <w:rPr>
                <w:rFonts w:hint="eastAsia" w:ascii="宋体" w:hAnsi="宋体" w:cs="宋体"/>
                <w:b w:val="0"/>
                <w:bCs w:val="0"/>
                <w:color w:val="auto"/>
                <w:spacing w:val="0"/>
                <w:kern w:val="2"/>
                <w:position w:val="0"/>
                <w:sz w:val="24"/>
                <w:szCs w:val="24"/>
                <w:lang w:val="en-US" w:eastAsia="zh-CN" w:bidi="ar-SA"/>
              </w:rPr>
              <w:t>6</w:t>
            </w:r>
            <w:r>
              <w:rPr>
                <w:rFonts w:hint="eastAsia" w:ascii="宋体" w:hAnsi="宋体" w:eastAsia="宋体" w:cs="宋体"/>
                <w:sz w:val="24"/>
                <w:szCs w:val="24"/>
              </w:rPr>
              <w:t>根据投标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提供的应急预案：改造过程中</w:t>
            </w:r>
            <w:r>
              <w:rPr>
                <w:rFonts w:hint="eastAsia" w:ascii="宋体" w:hAnsi="宋体" w:eastAsia="宋体" w:cs="宋体"/>
                <w:sz w:val="24"/>
                <w:szCs w:val="24"/>
              </w:rPr>
              <w:t>因工艺或材料的缺陷而发生的设备故障或造成的行车事故</w:t>
            </w:r>
            <w:r>
              <w:rPr>
                <w:rFonts w:hint="eastAsia" w:ascii="宋体" w:hAnsi="宋体" w:eastAsia="宋体" w:cs="宋体"/>
                <w:sz w:val="24"/>
                <w:szCs w:val="24"/>
                <w:lang w:eastAsia="zh-CN"/>
              </w:rPr>
              <w:t>等，</w:t>
            </w:r>
            <w:r>
              <w:rPr>
                <w:rFonts w:hint="eastAsia" w:ascii="宋体" w:hAnsi="宋体" w:eastAsia="宋体" w:cs="宋体"/>
                <w:sz w:val="24"/>
                <w:szCs w:val="24"/>
                <w:highlight w:val="none"/>
                <w:lang w:val="en-US" w:eastAsia="zh-CN"/>
              </w:rPr>
              <w:t>应急方案</w:t>
            </w:r>
            <w:r>
              <w:rPr>
                <w:rFonts w:hint="eastAsia" w:ascii="宋体" w:hAnsi="宋体" w:eastAsia="宋体" w:cs="宋体"/>
                <w:sz w:val="24"/>
                <w:szCs w:val="24"/>
                <w:highlight w:val="none"/>
                <w:lang w:val="en-US" w:eastAsia="en-US"/>
              </w:rPr>
              <w:t>内容编制要求：</w:t>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en-US"/>
              </w:rPr>
              <w:t>具有针对性（能够准确凸显项目特点、要点）且全面完整（有具体详尽的文字阐述）；②层次分明（次序清晰，前后有序，不存在相互矛盾、杂乱无章等情形）且具有合理性（符合实际，不存在夸大、凭空编造、内容缺陷、无法实 施</w:t>
            </w:r>
            <w:r>
              <w:rPr>
                <w:rFonts w:hint="eastAsia" w:ascii="宋体" w:hAnsi="宋体" w:eastAsia="宋体" w:cs="宋体"/>
                <w:color w:val="auto"/>
                <w:sz w:val="24"/>
                <w:szCs w:val="24"/>
                <w:highlight w:val="none"/>
                <w:lang w:val="en-US" w:eastAsia="en-US"/>
              </w:rPr>
              <w:t>等情形）</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③符合国家标准及规程、规范要求，内容科学严谨、 经济合理（符合采购项目实际需求、有利于项目实施）</w:t>
            </w:r>
            <w:r>
              <w:rPr>
                <w:rFonts w:hint="eastAsia" w:ascii="宋体" w:hAnsi="宋体" w:eastAsia="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应急方案</w:t>
            </w:r>
            <w:r>
              <w:rPr>
                <w:rFonts w:hint="eastAsia" w:ascii="宋体" w:hAnsi="宋体" w:eastAsia="宋体" w:cs="宋体"/>
                <w:b w:val="0"/>
                <w:bCs w:val="0"/>
                <w:color w:val="auto"/>
                <w:spacing w:val="0"/>
                <w:kern w:val="2"/>
                <w:position w:val="0"/>
                <w:sz w:val="24"/>
                <w:szCs w:val="24"/>
                <w:lang w:val="en-US" w:eastAsia="zh-CN" w:bidi="ar-SA"/>
              </w:rPr>
              <w:t>内容完整、与项目需求吻合、思路清晰、层次细化，有具体详细的阐述且符合项目要求的得3分；</w:t>
            </w:r>
            <w:r>
              <w:rPr>
                <w:rFonts w:hint="eastAsia" w:ascii="宋体" w:hAnsi="宋体" w:eastAsia="宋体" w:cs="宋体"/>
                <w:color w:val="auto"/>
                <w:sz w:val="24"/>
                <w:szCs w:val="24"/>
                <w:highlight w:val="none"/>
                <w:lang w:val="en-US" w:eastAsia="zh-CN"/>
              </w:rPr>
              <w:t>应急方案</w:t>
            </w:r>
            <w:r>
              <w:rPr>
                <w:rFonts w:hint="eastAsia" w:ascii="宋体" w:hAnsi="宋体" w:eastAsia="宋体" w:cs="宋体"/>
                <w:b w:val="0"/>
                <w:bCs w:val="0"/>
                <w:color w:val="auto"/>
                <w:spacing w:val="0"/>
                <w:kern w:val="2"/>
                <w:position w:val="0"/>
                <w:sz w:val="24"/>
                <w:szCs w:val="24"/>
                <w:lang w:val="en-US" w:eastAsia="zh-CN" w:bidi="ar-SA"/>
              </w:rPr>
              <w:t>内容完整、与项目需求不够吻合、思路不清晰、层次不细化，有详细的阐述且符合项目要求的得2分；</w:t>
            </w:r>
            <w:r>
              <w:rPr>
                <w:rFonts w:hint="eastAsia" w:ascii="宋体" w:hAnsi="宋体" w:eastAsia="宋体" w:cs="宋体"/>
                <w:color w:val="auto"/>
                <w:sz w:val="24"/>
                <w:szCs w:val="24"/>
                <w:highlight w:val="none"/>
                <w:lang w:val="en-US" w:eastAsia="zh-CN"/>
              </w:rPr>
              <w:t>应急方案</w:t>
            </w:r>
            <w:r>
              <w:rPr>
                <w:rFonts w:hint="eastAsia" w:ascii="宋体" w:hAnsi="宋体" w:eastAsia="宋体" w:cs="宋体"/>
                <w:b w:val="0"/>
                <w:bCs w:val="0"/>
                <w:color w:val="auto"/>
                <w:spacing w:val="0"/>
                <w:kern w:val="2"/>
                <w:position w:val="0"/>
                <w:sz w:val="24"/>
                <w:szCs w:val="24"/>
                <w:lang w:val="en-US" w:eastAsia="zh-CN" w:bidi="ar-SA"/>
              </w:rPr>
              <w:t>内容存在缺陷或不足的得1分</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pacing w:val="0"/>
                <w:kern w:val="2"/>
                <w:position w:val="0"/>
                <w:sz w:val="24"/>
                <w:szCs w:val="24"/>
                <w:lang w:val="en-US" w:eastAsia="zh-CN" w:bidi="ar-SA"/>
              </w:rPr>
              <w:t>未提供的本项不得分。</w:t>
            </w:r>
          </w:p>
        </w:tc>
      </w:tr>
      <w:tr w14:paraId="36A0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pct"/>
            <w:vAlign w:val="center"/>
          </w:tcPr>
          <w:p w14:paraId="1ACFCF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项目管理机构成员配置</w:t>
            </w:r>
          </w:p>
        </w:tc>
        <w:tc>
          <w:tcPr>
            <w:tcW w:w="727" w:type="pct"/>
            <w:vAlign w:val="center"/>
          </w:tcPr>
          <w:p w14:paraId="5B2FF89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3437" w:type="pct"/>
            <w:vAlign w:val="center"/>
          </w:tcPr>
          <w:p w14:paraId="37200A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kern w:val="2"/>
                <w:position w:val="0"/>
                <w:sz w:val="24"/>
                <w:szCs w:val="24"/>
                <w:lang w:val="en-US" w:eastAsia="zh-CN" w:bidi="ar-SA"/>
              </w:rPr>
            </w:pPr>
            <w:r>
              <w:rPr>
                <w:rFonts w:hint="eastAsia" w:ascii="宋体" w:hAnsi="宋体" w:eastAsia="宋体" w:cs="宋体"/>
                <w:b w:val="0"/>
                <w:bCs w:val="0"/>
                <w:color w:val="auto"/>
                <w:spacing w:val="0"/>
                <w:kern w:val="2"/>
                <w:position w:val="0"/>
                <w:sz w:val="24"/>
                <w:szCs w:val="24"/>
                <w:lang w:val="en-US" w:eastAsia="zh-CN" w:bidi="ar-SA"/>
              </w:rPr>
              <w:t>A</w:t>
            </w:r>
            <w:r>
              <w:rPr>
                <w:rFonts w:hint="eastAsia" w:ascii="宋体" w:hAnsi="宋体" w:cs="宋体"/>
                <w:b w:val="0"/>
                <w:bCs w:val="0"/>
                <w:color w:val="auto"/>
                <w:spacing w:val="0"/>
                <w:kern w:val="2"/>
                <w:position w:val="0"/>
                <w:sz w:val="24"/>
                <w:szCs w:val="24"/>
                <w:lang w:val="en-US" w:eastAsia="zh-CN" w:bidi="ar-SA"/>
              </w:rPr>
              <w:t>7</w:t>
            </w:r>
            <w:r>
              <w:rPr>
                <w:rFonts w:hint="eastAsia" w:ascii="宋体" w:hAnsi="宋体" w:eastAsia="宋体" w:cs="宋体"/>
                <w:sz w:val="24"/>
                <w:szCs w:val="24"/>
              </w:rPr>
              <w:t>根据投标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提供的</w:t>
            </w:r>
            <w:r>
              <w:rPr>
                <w:rFonts w:hint="eastAsia" w:ascii="宋体" w:hAnsi="宋体" w:eastAsia="宋体" w:cs="宋体"/>
                <w:sz w:val="24"/>
                <w:szCs w:val="24"/>
              </w:rPr>
              <w:t>项目管理机构成员配置</w:t>
            </w:r>
            <w:r>
              <w:rPr>
                <w:rFonts w:hint="eastAsia" w:ascii="宋体" w:hAnsi="宋体" w:eastAsia="宋体" w:cs="宋体"/>
                <w:sz w:val="24"/>
                <w:szCs w:val="24"/>
                <w:lang w:val="en-US" w:eastAsia="zh-CN"/>
              </w:rPr>
              <w:t>情况进行评分。</w:t>
            </w:r>
            <w:r>
              <w:rPr>
                <w:rFonts w:hint="eastAsia" w:ascii="宋体" w:hAnsi="宋体" w:eastAsia="宋体" w:cs="宋体"/>
                <w:sz w:val="24"/>
                <w:szCs w:val="24"/>
              </w:rPr>
              <w:t>项目管理机构成员针对本项目实际且专业配置齐全、</w:t>
            </w:r>
            <w:r>
              <w:rPr>
                <w:rFonts w:hint="eastAsia" w:ascii="宋体" w:hAnsi="宋体" w:eastAsia="宋体" w:cs="宋体"/>
                <w:sz w:val="24"/>
                <w:szCs w:val="24"/>
                <w:lang w:eastAsia="zh-CN"/>
              </w:rPr>
              <w:t>符合本项目需求</w:t>
            </w:r>
            <w:r>
              <w:rPr>
                <w:rFonts w:hint="eastAsia" w:ascii="宋体" w:hAnsi="宋体" w:eastAsia="宋体" w:cs="宋体"/>
                <w:sz w:val="24"/>
                <w:szCs w:val="24"/>
              </w:rPr>
              <w:t>，能满足本项目管理需要的得</w:t>
            </w:r>
            <w:r>
              <w:rPr>
                <w:rFonts w:hint="eastAsia" w:ascii="宋体" w:hAnsi="宋体" w:eastAsia="宋体" w:cs="宋体"/>
                <w:sz w:val="24"/>
                <w:szCs w:val="24"/>
                <w:lang w:val="en-US" w:eastAsia="zh-CN"/>
              </w:rPr>
              <w:t>3</w:t>
            </w:r>
            <w:r>
              <w:rPr>
                <w:rFonts w:hint="eastAsia" w:ascii="宋体" w:hAnsi="宋体" w:eastAsia="宋体" w:cs="宋体"/>
                <w:sz w:val="24"/>
                <w:szCs w:val="24"/>
              </w:rPr>
              <w:t>分；项目管理机构成员配置合理，能满足本项目管理需要，但专业配置基本齐全的得</w:t>
            </w:r>
            <w:r>
              <w:rPr>
                <w:rFonts w:hint="eastAsia" w:ascii="宋体" w:hAnsi="宋体" w:eastAsia="宋体" w:cs="宋体"/>
                <w:sz w:val="24"/>
                <w:szCs w:val="24"/>
                <w:lang w:val="en-US" w:eastAsia="zh-CN"/>
              </w:rPr>
              <w:t>2</w:t>
            </w:r>
            <w:r>
              <w:rPr>
                <w:rFonts w:hint="eastAsia" w:ascii="宋体" w:hAnsi="宋体" w:eastAsia="宋体" w:cs="宋体"/>
                <w:sz w:val="24"/>
                <w:szCs w:val="24"/>
              </w:rPr>
              <w:t>分；项目管理机构成员配置基本合理，基本能满足本项目管理需要，但专业配置不够齐全的得1分</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highlight w:val="none"/>
                <w:lang w:val="en-US" w:eastAsia="zh-CN"/>
              </w:rPr>
              <w:t>须提供人员配置情况表（格式自拟），</w:t>
            </w:r>
            <w:r>
              <w:rPr>
                <w:rFonts w:hint="eastAsia" w:ascii="宋体" w:hAnsi="宋体" w:eastAsia="宋体" w:cs="宋体"/>
                <w:b w:val="0"/>
                <w:bCs w:val="0"/>
                <w:color w:val="auto"/>
                <w:spacing w:val="0"/>
                <w:kern w:val="2"/>
                <w:position w:val="0"/>
                <w:sz w:val="24"/>
                <w:szCs w:val="24"/>
                <w:lang w:val="en-US" w:eastAsia="zh-CN" w:bidi="ar-SA"/>
              </w:rPr>
              <w:t>未提供的本项不得分。</w:t>
            </w:r>
          </w:p>
        </w:tc>
      </w:tr>
      <w:tr w14:paraId="0E31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vAlign w:val="top"/>
          </w:tcPr>
          <w:p w14:paraId="5802A8CB">
            <w:pPr>
              <w:keepNext w:val="0"/>
              <w:keepLines w:val="0"/>
              <w:pageBreakBefore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商务部分评分(B</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满分</w:t>
            </w:r>
            <w:r>
              <w:rPr>
                <w:rFonts w:hint="eastAsia" w:asciiTheme="minorEastAsia" w:hAnsiTheme="minorEastAsia" w:eastAsiaTheme="minorEastAsia" w:cstheme="minorEastAsia"/>
                <w:b/>
                <w:bCs/>
                <w:color w:val="auto"/>
                <w:sz w:val="24"/>
                <w:szCs w:val="24"/>
                <w:highlight w:val="none"/>
                <w:lang w:val="en-US" w:eastAsia="zh-CN"/>
              </w:rPr>
              <w:t>6.00</w:t>
            </w:r>
            <w:r>
              <w:rPr>
                <w:rFonts w:hint="eastAsia" w:asciiTheme="minorEastAsia" w:hAnsiTheme="minorEastAsia" w:eastAsiaTheme="minorEastAsia" w:cstheme="minorEastAsia"/>
                <w:b/>
                <w:bCs/>
                <w:color w:val="auto"/>
                <w:sz w:val="24"/>
                <w:szCs w:val="24"/>
                <w:highlight w:val="none"/>
              </w:rPr>
              <w:t>分</w:t>
            </w:r>
            <w:r>
              <w:rPr>
                <w:rFonts w:hint="eastAsia" w:asciiTheme="minorEastAsia" w:hAnsiTheme="minorEastAsia" w:eastAsiaTheme="minorEastAsia" w:cstheme="minorEastAsia"/>
                <w:b/>
                <w:color w:val="auto"/>
                <w:sz w:val="24"/>
                <w:szCs w:val="24"/>
                <w:highlight w:val="none"/>
              </w:rPr>
              <w:t>)</w:t>
            </w:r>
          </w:p>
        </w:tc>
      </w:tr>
      <w:tr w14:paraId="662A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49AED3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评标项目</w:t>
            </w:r>
          </w:p>
        </w:tc>
        <w:tc>
          <w:tcPr>
            <w:tcW w:w="727" w:type="pct"/>
            <w:vAlign w:val="center"/>
          </w:tcPr>
          <w:p w14:paraId="26F95A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评标</w:t>
            </w:r>
            <w:r>
              <w:rPr>
                <w:rFonts w:hint="eastAsia" w:asciiTheme="minorEastAsia" w:hAnsiTheme="minorEastAsia" w:eastAsiaTheme="minorEastAsia" w:cstheme="minorEastAsia"/>
                <w:b/>
                <w:bCs/>
                <w:color w:val="auto"/>
                <w:sz w:val="24"/>
                <w:szCs w:val="24"/>
                <w:highlight w:val="none"/>
                <w:lang w:val="en-US" w:eastAsia="zh-CN"/>
              </w:rPr>
              <w:t>分值</w:t>
            </w:r>
          </w:p>
        </w:tc>
        <w:tc>
          <w:tcPr>
            <w:tcW w:w="3437" w:type="pct"/>
            <w:vAlign w:val="center"/>
          </w:tcPr>
          <w:p w14:paraId="2210C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评价标准及方法</w:t>
            </w:r>
          </w:p>
        </w:tc>
      </w:tr>
      <w:tr w14:paraId="6A70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5" w:type="pct"/>
            <w:vAlign w:val="center"/>
          </w:tcPr>
          <w:p w14:paraId="57A963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业绩</w:t>
            </w:r>
          </w:p>
        </w:tc>
        <w:tc>
          <w:tcPr>
            <w:tcW w:w="727" w:type="pct"/>
            <w:vAlign w:val="center"/>
          </w:tcPr>
          <w:p w14:paraId="4B9D7D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3437" w:type="pct"/>
            <w:vAlign w:val="center"/>
          </w:tcPr>
          <w:p w14:paraId="5C23F67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Theme="minorEastAsia" w:hAnsiTheme="minorEastAsia" w:eastAsiaTheme="minorEastAsia" w:cstheme="minorEastAsia"/>
                <w:b w:val="0"/>
                <w:bCs/>
                <w:color w:val="auto"/>
                <w:sz w:val="24"/>
                <w:szCs w:val="24"/>
                <w:highlight w:val="none"/>
              </w:rPr>
              <w:t>B</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宋体" w:hAnsi="宋体" w:eastAsia="宋体" w:cs="宋体"/>
                <w:sz w:val="24"/>
                <w:szCs w:val="24"/>
                <w:lang w:val="en-US" w:eastAsia="zh-CN"/>
              </w:rPr>
              <w:t>投标人提供自2020年1月1日至投标截止日（以合同签订时间为准），每提供1个类似项目业绩（如列车改造、厂修等）得2分，满分6分。须提供中标通知书或合同（合同至少包含：首页、项目信息页、双方盖章页等关键页），</w:t>
            </w:r>
            <w:r>
              <w:rPr>
                <w:rFonts w:hint="eastAsia" w:ascii="宋体" w:hAnsi="宋体" w:eastAsia="宋体" w:cs="宋体"/>
                <w:b w:val="0"/>
                <w:bCs w:val="0"/>
                <w:color w:val="auto"/>
                <w:spacing w:val="0"/>
                <w:kern w:val="2"/>
                <w:position w:val="0"/>
                <w:sz w:val="24"/>
                <w:szCs w:val="24"/>
                <w:lang w:val="en-US" w:eastAsia="zh-CN" w:bidi="ar-SA"/>
              </w:rPr>
              <w:t>未提供的本项不得分。</w:t>
            </w:r>
          </w:p>
        </w:tc>
      </w:tr>
      <w:tr w14:paraId="2EE2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vAlign w:val="top"/>
          </w:tcPr>
          <w:p w14:paraId="1987F780">
            <w:pPr>
              <w:keepNext w:val="0"/>
              <w:keepLines w:val="0"/>
              <w:pageBreakBefore w:val="0"/>
              <w:kinsoku/>
              <w:wordWrap/>
              <w:topLinePunct w:val="0"/>
              <w:bidi w:val="0"/>
              <w:snapToGrid/>
              <w:spacing w:line="3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第二阶段报价部分的评标</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C</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满分</w:t>
            </w:r>
            <w:r>
              <w:rPr>
                <w:rFonts w:hint="eastAsia" w:asciiTheme="minorEastAsia" w:hAnsiTheme="minorEastAsia" w:eastAsiaTheme="minorEastAsia" w:cstheme="minorEastAsia"/>
                <w:b/>
                <w:bCs/>
                <w:color w:val="auto"/>
                <w:sz w:val="24"/>
                <w:szCs w:val="24"/>
                <w:highlight w:val="none"/>
                <w:lang w:val="en-US" w:eastAsia="zh-CN"/>
              </w:rPr>
              <w:t>15.00</w:t>
            </w:r>
            <w:r>
              <w:rPr>
                <w:rFonts w:hint="eastAsia" w:asciiTheme="minorEastAsia" w:hAnsiTheme="minorEastAsia" w:eastAsiaTheme="minorEastAsia" w:cstheme="minorEastAsia"/>
                <w:b/>
                <w:bCs/>
                <w:color w:val="auto"/>
                <w:sz w:val="24"/>
                <w:szCs w:val="24"/>
                <w:highlight w:val="none"/>
              </w:rPr>
              <w:t>分</w:t>
            </w:r>
            <w:r>
              <w:rPr>
                <w:rFonts w:hint="eastAsia" w:asciiTheme="minorEastAsia" w:hAnsiTheme="minorEastAsia" w:eastAsiaTheme="minorEastAsia" w:cstheme="minorEastAsia"/>
                <w:b/>
                <w:color w:val="auto"/>
                <w:sz w:val="24"/>
                <w:szCs w:val="24"/>
                <w:highlight w:val="none"/>
              </w:rPr>
              <w:t>)</w:t>
            </w:r>
          </w:p>
        </w:tc>
      </w:tr>
      <w:tr w14:paraId="4DCC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5" w:type="pct"/>
            <w:vAlign w:val="center"/>
          </w:tcPr>
          <w:p w14:paraId="7845FF43">
            <w:pPr>
              <w:keepNext w:val="0"/>
              <w:keepLines w:val="0"/>
              <w:pageBreakBefore w:val="0"/>
              <w:widowControl w:val="0"/>
              <w:kinsoku/>
              <w:wordWrap/>
              <w:topLinePunct w:val="0"/>
              <w:bidi w:val="0"/>
              <w:snapToGrid/>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报价</w:t>
            </w:r>
          </w:p>
          <w:p w14:paraId="77F36642">
            <w:pPr>
              <w:keepNext w:val="0"/>
              <w:keepLines w:val="0"/>
              <w:pageBreakBefore w:val="0"/>
              <w:widowControl w:val="0"/>
              <w:kinsoku/>
              <w:wordWrap/>
              <w:topLinePunct w:val="0"/>
              <w:bidi w:val="0"/>
              <w:snapToGrid/>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部分</w:t>
            </w:r>
          </w:p>
        </w:tc>
        <w:tc>
          <w:tcPr>
            <w:tcW w:w="727" w:type="pct"/>
            <w:vAlign w:val="center"/>
          </w:tcPr>
          <w:p w14:paraId="6188C8E6">
            <w:pPr>
              <w:keepNext w:val="0"/>
              <w:keepLines w:val="0"/>
              <w:pageBreakBefore w:val="0"/>
              <w:widowControl w:val="0"/>
              <w:kinsoku/>
              <w:wordWrap/>
              <w:topLinePunct w:val="0"/>
              <w:bidi w:val="0"/>
              <w:snapToGrid/>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15.00</w:t>
            </w:r>
          </w:p>
        </w:tc>
        <w:tc>
          <w:tcPr>
            <w:tcW w:w="3437" w:type="pct"/>
            <w:vAlign w:val="top"/>
          </w:tcPr>
          <w:p w14:paraId="79256504">
            <w:pPr>
              <w:pStyle w:val="47"/>
              <w:keepNext w:val="0"/>
              <w:keepLines w:val="0"/>
              <w:pageBreakBefore w:val="0"/>
              <w:widowControl w:val="0"/>
              <w:kinsoku/>
              <w:wordWrap/>
              <w:topLinePunct w:val="0"/>
              <w:bidi w:val="0"/>
              <w:snapToGrid/>
              <w:spacing w:line="40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C=(评标基准价</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有效投标报价)×</w:t>
            </w:r>
            <w:r>
              <w:rPr>
                <w:rFonts w:hint="eastAsia" w:asciiTheme="minorEastAsia" w:hAnsiTheme="minorEastAsia" w:eastAsiaTheme="minorEastAsia" w:cstheme="minorEastAsia"/>
                <w:color w:val="auto"/>
                <w:sz w:val="24"/>
                <w:szCs w:val="24"/>
                <w:highlight w:val="none"/>
                <w:lang w:val="en-US" w:eastAsia="zh-CN"/>
              </w:rPr>
              <w:t>15.00</w:t>
            </w:r>
          </w:p>
          <w:p w14:paraId="374FA71B">
            <w:pPr>
              <w:pStyle w:val="47"/>
              <w:keepNext w:val="0"/>
              <w:keepLines w:val="0"/>
              <w:pageBreakBefore w:val="0"/>
              <w:widowControl w:val="0"/>
              <w:kinsoku/>
              <w:wordWrap/>
              <w:topLinePunct w:val="0"/>
              <w:bidi w:val="0"/>
              <w:snapToGrid/>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由此算出各个通过报价审查的投标人报价部分得分(计算分数时四舍五入保留小数点后2位数)。</w:t>
            </w:r>
          </w:p>
          <w:p w14:paraId="76296A87">
            <w:pPr>
              <w:pStyle w:val="47"/>
              <w:keepNext w:val="0"/>
              <w:keepLines w:val="0"/>
              <w:pageBreakBefore w:val="0"/>
              <w:widowControl w:val="0"/>
              <w:kinsoku/>
              <w:wordWrap/>
              <w:topLinePunct w:val="0"/>
              <w:bidi w:val="0"/>
              <w:snapToGrid/>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p>
          <w:p w14:paraId="2C184AA2">
            <w:pPr>
              <w:pStyle w:val="47"/>
              <w:keepNext w:val="0"/>
              <w:keepLines w:val="0"/>
              <w:pageBreakBefore w:val="0"/>
              <w:widowControl w:val="0"/>
              <w:kinsoku/>
              <w:wordWrap/>
              <w:topLinePunct w:val="0"/>
              <w:bidi w:val="0"/>
              <w:snapToGrid/>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(1)C为报价部分得分。</w:t>
            </w:r>
          </w:p>
          <w:p w14:paraId="241F0F63">
            <w:pPr>
              <w:pStyle w:val="47"/>
              <w:keepNext w:val="0"/>
              <w:keepLines w:val="0"/>
              <w:pageBreakBefore w:val="0"/>
              <w:widowControl w:val="0"/>
              <w:kinsoku/>
              <w:wordWrap/>
              <w:topLinePunct w:val="0"/>
              <w:bidi w:val="0"/>
              <w:snapToGrid/>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(2)评标基准价=满足招标文件要求且投标价格最低的投标报价。</w:t>
            </w:r>
          </w:p>
        </w:tc>
      </w:tr>
      <w:tr w14:paraId="79E2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vAlign w:val="top"/>
          </w:tcPr>
          <w:p w14:paraId="0EA976C4">
            <w:pPr>
              <w:keepNext w:val="0"/>
              <w:keepLines w:val="0"/>
              <w:pageBreakBefore w:val="0"/>
              <w:kinsoku/>
              <w:wordWrap/>
              <w:topLinePunct w:val="0"/>
              <w:bidi w:val="0"/>
              <w:snapToGrid/>
              <w:spacing w:line="3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各投标人的最终得分为A+B+C</w:t>
            </w:r>
          </w:p>
        </w:tc>
      </w:tr>
    </w:tbl>
    <w:p w14:paraId="320AADB4">
      <w:pPr>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招标人、招标代理机构不得向评标委员会的评审专家作倾向性、误导性的解释或者说明。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w:t>
      </w:r>
    </w:p>
    <w:p w14:paraId="6F26E814">
      <w:pPr>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评标委员会成员应当在评审报告上签字，对自己的评审意见承担法律责任。对评审报告有异议的，应当在评审报告上签署不同意见，并说明理由，否则视为同意评审报告。</w:t>
      </w:r>
    </w:p>
    <w:p w14:paraId="0DC688FB">
      <w:pPr>
        <w:pStyle w:val="47"/>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19</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7本招标文件中要求原件核查的，投标人须将原件单独密封后同投标文件一起提交，否则不予接收。未按规定提交原件的，评标委员会可以按不利于投标人的情形认定。</w:t>
      </w:r>
    </w:p>
    <w:p w14:paraId="77459618">
      <w:pPr>
        <w:pStyle w:val="47"/>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19</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8本招标文件中要求原件备查的，在评标定标过程中，投标人须准备好与投标有关的证明资料原件随时备查，如有必要，评标委员会将要求投标人在规定的合理时间内提交原件验证，在评标委员会规定时间内(一般在一个小时内须到达评标地点，具体以评标委员会规定时间为准)不能提交原件的，则评标委员会可以按不利于投标人的情形认定。</w:t>
      </w:r>
    </w:p>
    <w:p w14:paraId="308DE529">
      <w:pPr>
        <w:pStyle w:val="47"/>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19</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9在评标过程中，有关评标委员会要求投标人作出澄清的，须由投标人的法定代表人或其委托代理人按评标委员会规定</w:t>
      </w:r>
      <w:r>
        <w:rPr>
          <w:rFonts w:hint="eastAsia" w:asciiTheme="minorEastAsia" w:hAnsiTheme="minorEastAsia" w:eastAsiaTheme="minorEastAsia" w:cstheme="minorEastAsia"/>
          <w:color w:val="auto"/>
          <w:kern w:val="2"/>
          <w:sz w:val="24"/>
          <w:szCs w:val="24"/>
          <w:highlight w:val="none"/>
          <w:lang w:val="en-US" w:eastAsia="zh-CN"/>
        </w:rPr>
        <w:t>的</w:t>
      </w:r>
      <w:r>
        <w:rPr>
          <w:rFonts w:hint="eastAsia" w:asciiTheme="minorEastAsia" w:hAnsiTheme="minorEastAsia" w:eastAsiaTheme="minorEastAsia" w:cstheme="minorEastAsia"/>
          <w:color w:val="auto"/>
          <w:kern w:val="2"/>
          <w:sz w:val="24"/>
          <w:szCs w:val="24"/>
          <w:highlight w:val="none"/>
        </w:rPr>
        <w:t>时间(一般在一个小时内须到达评标地点，具体以评标委员会规定时间为准)、地点向评标委员会作出书面澄清。投标人未能按上述规定作出书面澄清的，则评标委员会可以按不利于投标人的情形认定。</w:t>
      </w:r>
    </w:p>
    <w:p w14:paraId="672AFC0E">
      <w:pPr>
        <w:pStyle w:val="47"/>
        <w:keepNext w:val="0"/>
        <w:keepLines w:val="0"/>
        <w:pageBreakBefore w:val="0"/>
        <w:widowControl w:val="0"/>
        <w:kinsoku/>
        <w:wordWrap/>
        <w:topLinePunct w:val="0"/>
        <w:bidi w:val="0"/>
        <w:snapToGrid/>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19.10评标委员会认为投标人的报价明显低于其他通过符合性审查投标人的报价，有可能影响产品质量或不能诚信履约的，应当要求其在评标现场合理的时间</w:t>
      </w:r>
      <w:r>
        <w:rPr>
          <w:rFonts w:hint="eastAsia" w:asciiTheme="minorEastAsia" w:hAnsiTheme="minorEastAsia" w:eastAsiaTheme="minorEastAsia" w:cstheme="minorEastAsia"/>
          <w:color w:val="auto"/>
          <w:kern w:val="2"/>
          <w:sz w:val="24"/>
          <w:szCs w:val="24"/>
          <w:highlight w:val="none"/>
        </w:rPr>
        <w:t>(一般在一个小时内须到达评标地点，具体以评标委员会规定时间为准)</w:t>
      </w:r>
      <w:r>
        <w:rPr>
          <w:rFonts w:hint="eastAsia" w:asciiTheme="minorEastAsia" w:hAnsiTheme="minorEastAsia" w:eastAsiaTheme="minorEastAsia" w:cstheme="minorEastAsia"/>
          <w:color w:val="auto"/>
          <w:kern w:val="2"/>
          <w:sz w:val="24"/>
          <w:szCs w:val="24"/>
          <w:highlight w:val="none"/>
          <w:lang w:val="en-US" w:eastAsia="zh-CN"/>
        </w:rPr>
        <w:t>内提供书面说明，必要时提交相关证明材料;投标人不能证明其报价合理性的，评标委员会将其作为无效投标处理。</w:t>
      </w:r>
    </w:p>
    <w:p w14:paraId="63A0602C">
      <w:pPr>
        <w:keepNext w:val="0"/>
        <w:keepLines w:val="0"/>
        <w:pageBreakBefore w:val="0"/>
        <w:widowControl w:val="0"/>
        <w:kinsoku/>
        <w:wordWrap/>
        <w:overflowPunct/>
        <w:topLinePunct w:val="0"/>
        <w:bidi w:val="0"/>
        <w:snapToGrid/>
        <w:spacing w:line="380" w:lineRule="exact"/>
        <w:jc w:val="center"/>
        <w:textAlignment w:val="auto"/>
        <w:outlineLvl w:val="1"/>
        <w:rPr>
          <w:rFonts w:hint="eastAsia" w:asciiTheme="minorEastAsia" w:hAnsiTheme="minorEastAsia" w:eastAsiaTheme="minorEastAsia" w:cstheme="minorEastAsia"/>
          <w:b/>
          <w:color w:val="auto"/>
          <w:sz w:val="24"/>
          <w:szCs w:val="24"/>
          <w:highlight w:val="none"/>
        </w:rPr>
      </w:pPr>
      <w:bookmarkStart w:id="10" w:name="_Toc19667"/>
      <w:r>
        <w:rPr>
          <w:rFonts w:hint="eastAsia" w:asciiTheme="minorEastAsia" w:hAnsiTheme="minorEastAsia" w:eastAsiaTheme="minorEastAsia" w:cstheme="minorEastAsia"/>
          <w:b/>
          <w:color w:val="auto"/>
          <w:sz w:val="24"/>
          <w:szCs w:val="24"/>
          <w:highlight w:val="none"/>
        </w:rPr>
        <w:t>六、定标与签订合同</w:t>
      </w:r>
      <w:bookmarkEnd w:id="10"/>
    </w:p>
    <w:p w14:paraId="4B410A1A">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定标准则</w:t>
      </w:r>
    </w:p>
    <w:p w14:paraId="39174F1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1最低投标价不作为中标的保证。</w:t>
      </w:r>
    </w:p>
    <w:p w14:paraId="7044717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2投标人的投标文件满足招标文件全部实质性要求，按招标文件确定评标标准、方法，经评标委员会评审并推荐中标候选人。</w:t>
      </w:r>
    </w:p>
    <w:p w14:paraId="4503731C">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40A8CFE6">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1评标结束后，评标结果经招标人确认后，招标代理机构应在刊登本采购项目招标公告的媒介上对中标候选人进行公示3个日历日，公示期结束后</w:t>
      </w:r>
      <w:r>
        <w:rPr>
          <w:rFonts w:hint="eastAsia" w:asciiTheme="minorEastAsia" w:hAnsiTheme="minorEastAsia" w:eastAsiaTheme="minorEastAsia" w:cstheme="minorEastAsia"/>
          <w:color w:val="auto"/>
          <w:sz w:val="24"/>
          <w:szCs w:val="24"/>
          <w:highlight w:val="none"/>
          <w:lang w:eastAsia="zh-CN"/>
        </w:rPr>
        <w:t>对</w:t>
      </w:r>
      <w:r>
        <w:rPr>
          <w:rFonts w:hint="eastAsia" w:asciiTheme="minorEastAsia" w:hAnsiTheme="minorEastAsia" w:eastAsiaTheme="minorEastAsia" w:cstheme="minorEastAsia"/>
          <w:color w:val="auto"/>
          <w:sz w:val="24"/>
          <w:szCs w:val="24"/>
          <w:highlight w:val="none"/>
        </w:rPr>
        <w:t>中标结果进行公示</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个日历日，中标公告发布的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评标结果有异议的，应当在中标候选人公示期间提出，以书面形式向招标人或招标代理机构提出质疑。</w:t>
      </w:r>
    </w:p>
    <w:p w14:paraId="67CDF5A8">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2《中标通知书》发出的同时应将落标书面通知没有中标的其它投标人。</w:t>
      </w:r>
    </w:p>
    <w:p w14:paraId="20C87829">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3《中标通知书》将作为签订合同的依据。《合同》签订后，《中标通知书》成为《合同》的一部分。</w:t>
      </w:r>
    </w:p>
    <w:p w14:paraId="43FD7C32">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4《中标通知书》发出后5个日历日内，招标代理机构以原缴交方式向未中标的投标人退还其投标保证金。</w:t>
      </w:r>
    </w:p>
    <w:p w14:paraId="38379CA7">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5在合同签订后5个日历日内，招标代理机构以原缴交方式退还中标人的投标保证金。</w:t>
      </w:r>
    </w:p>
    <w:p w14:paraId="2F6A7D98">
      <w:pPr>
        <w:pStyle w:val="82"/>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b/>
          <w:color w:val="auto"/>
          <w:szCs w:val="24"/>
          <w:highlight w:val="none"/>
        </w:rPr>
        <w:t>22</w:t>
      </w:r>
      <w:r>
        <w:rPr>
          <w:rFonts w:hint="eastAsia" w:asciiTheme="minorEastAsia" w:hAnsiTheme="minorEastAsia" w:eastAsiaTheme="minorEastAsia" w:cstheme="minorEastAsia"/>
          <w:b/>
          <w:color w:val="auto"/>
          <w:szCs w:val="24"/>
          <w:highlight w:val="none"/>
          <w:lang w:eastAsia="zh-CN"/>
        </w:rPr>
        <w:t>、</w:t>
      </w:r>
      <w:r>
        <w:rPr>
          <w:rFonts w:hint="eastAsia" w:asciiTheme="minorEastAsia" w:hAnsiTheme="minorEastAsia" w:eastAsiaTheme="minorEastAsia" w:cstheme="minorEastAsia"/>
          <w:b/>
          <w:color w:val="auto"/>
          <w:szCs w:val="24"/>
          <w:highlight w:val="none"/>
        </w:rPr>
        <w:t>签订合同</w:t>
      </w:r>
    </w:p>
    <w:p w14:paraId="34F6B37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招标人、中标人在《中标通知书》发出之日起30日内，根据招标文件确定的事项和中标人投标文件，按照本招标文件第四章的《合同》文本签订合同。双方所签订的合同不得对招标文件和中标人投标文件作实质性修改。中标人逾期未签订合同，按照有关法律规定承担相应的法律责任，招标代理机构将没收其投标保证金，以抵偿对招标人造成的损失。招标人逾期不与中标人签订合同的，按招标的有关规定处理。</w:t>
      </w:r>
    </w:p>
    <w:p w14:paraId="74194849">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69CB108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22.3</w:t>
      </w:r>
      <w:r>
        <w:rPr>
          <w:rFonts w:hint="eastAsia" w:asciiTheme="minorEastAsia" w:hAnsiTheme="minorEastAsia" w:eastAsiaTheme="minorEastAsia" w:cstheme="minorEastAsia"/>
          <w:color w:val="auto"/>
          <w:sz w:val="24"/>
          <w:szCs w:val="24"/>
          <w:highlight w:val="none"/>
        </w:rPr>
        <w:t>合同履行过程中，招标人若需追加与合同标的相同的货物或服务，则追加采购金额不得超过原采购金额的10%。</w:t>
      </w:r>
    </w:p>
    <w:p w14:paraId="111349DD">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七、异议与投诉</w:t>
      </w:r>
    </w:p>
    <w:p w14:paraId="327885B5">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23</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异议、投诉</w:t>
      </w:r>
    </w:p>
    <w:p w14:paraId="1908DECD">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.1投标人认为招标文件、招标过程和中标结果使自己的权益受到损害的，应当以书面方式向招标单位或招标代理机构提出异议。</w:t>
      </w:r>
    </w:p>
    <w:p w14:paraId="0DCCD7A6">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.2提出异议期限的计算，按《中华人民共和国招标投标法实施条例》及有关规定执行。</w:t>
      </w:r>
    </w:p>
    <w:p w14:paraId="1EF5DAAA">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.2.1潜在投标人或者其他利害关系人对招标文件有异议的，应当以书面原件形式在投标截止时间10日前提出。</w:t>
      </w:r>
    </w:p>
    <w:p w14:paraId="29B37CDF">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.2.2投标人对开标有异议的，应当在开标现场提出。</w:t>
      </w:r>
    </w:p>
    <w:p w14:paraId="27E3033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.2.3投标人或者其他利害关系人对依法必须进行招标的项目的评标结果有异议的，应当在中标候选人公示期间提出。</w:t>
      </w:r>
    </w:p>
    <w:p w14:paraId="7E0D783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.3函件格式及签署：异议书应当署名。提供其法定代表人签字</w:t>
      </w:r>
      <w:r>
        <w:rPr>
          <w:rFonts w:hint="eastAsia" w:asciiTheme="minorEastAsia" w:hAnsiTheme="minorEastAsia" w:eastAsiaTheme="minorEastAsia" w:cstheme="minorEastAsia"/>
          <w:color w:val="auto"/>
          <w:highlight w:val="none"/>
          <w:lang w:val="en-US" w:eastAsia="zh-CN"/>
        </w:rPr>
        <w:t>或</w:t>
      </w:r>
      <w:r>
        <w:rPr>
          <w:rFonts w:hint="eastAsia" w:asciiTheme="minorEastAsia" w:hAnsiTheme="minorEastAsia" w:eastAsiaTheme="minorEastAsia" w:cstheme="minorEastAsia"/>
          <w:color w:val="auto"/>
          <w:highlight w:val="none"/>
        </w:rPr>
        <w:t>盖章并</w:t>
      </w:r>
      <w:r>
        <w:rPr>
          <w:rFonts w:hint="eastAsia" w:asciiTheme="minorEastAsia" w:hAnsiTheme="minorEastAsia" w:eastAsiaTheme="minorEastAsia" w:cstheme="minorEastAsia"/>
          <w:color w:val="auto"/>
          <w:highlight w:val="none"/>
          <w:lang w:val="en-US" w:eastAsia="zh-CN"/>
        </w:rPr>
        <w:t>加盖</w:t>
      </w:r>
      <w:r>
        <w:rPr>
          <w:rFonts w:hint="eastAsia" w:asciiTheme="minorEastAsia" w:hAnsiTheme="minorEastAsia" w:eastAsiaTheme="minorEastAsia" w:cstheme="minorEastAsia"/>
          <w:color w:val="auto"/>
          <w:highlight w:val="none"/>
        </w:rPr>
        <w:t>异议人公章的书面材料（逐页加盖公章）。</w:t>
      </w:r>
    </w:p>
    <w:p w14:paraId="434F7DD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提出异议人应按下列格式提交异议书，否则招标代理机构有权不予受理：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14:paraId="56C5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1" w:type="dxa"/>
            <w:tcBorders>
              <w:top w:val="single" w:color="auto" w:sz="4" w:space="0"/>
              <w:left w:val="single" w:color="auto" w:sz="4" w:space="0"/>
              <w:bottom w:val="single" w:color="auto" w:sz="4" w:space="0"/>
              <w:right w:val="single" w:color="auto" w:sz="4" w:space="0"/>
            </w:tcBorders>
            <w:noWrap w:val="0"/>
            <w:vAlign w:val="top"/>
          </w:tcPr>
          <w:p w14:paraId="4D932A26">
            <w:pPr>
              <w:keepNext w:val="0"/>
              <w:keepLines w:val="0"/>
              <w:pageBreakBefore w:val="0"/>
              <w:widowControl w:val="0"/>
              <w:kinsoku/>
              <w:wordWrap/>
              <w:overflowPunct/>
              <w:topLinePunct w:val="0"/>
              <w:autoSpaceDE/>
              <w:autoSpaceDN/>
              <w:bidi w:val="0"/>
              <w:adjustRightInd/>
              <w:snapToGrid/>
              <w:spacing w:line="440" w:lineRule="exact"/>
              <w:ind w:left="1" w:hanging="1"/>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bCs/>
                <w:color w:val="auto"/>
                <w:sz w:val="32"/>
                <w:szCs w:val="32"/>
                <w:highlight w:val="none"/>
              </w:rPr>
              <w:t xml:space="preserve"> 异 议 书</w:t>
            </w:r>
          </w:p>
          <w:p w14:paraId="670F481D">
            <w:pPr>
              <w:keepNext w:val="0"/>
              <w:keepLines w:val="0"/>
              <w:pageBreakBefore w:val="0"/>
              <w:widowControl w:val="0"/>
              <w:kinsoku/>
              <w:wordWrap/>
              <w:overflowPunct/>
              <w:topLinePunct w:val="0"/>
              <w:autoSpaceDE/>
              <w:autoSpaceDN/>
              <w:bidi w:val="0"/>
              <w:adjustRightInd/>
              <w:snapToGrid/>
              <w:spacing w:line="440" w:lineRule="exact"/>
              <w:ind w:left="1" w:hanging="1"/>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(招标代理机构名称)：</w:t>
            </w:r>
          </w:p>
          <w:p w14:paraId="29FED7E7">
            <w:pPr>
              <w:keepNext w:val="0"/>
              <w:keepLines w:val="0"/>
              <w:pageBreakBefore w:val="0"/>
              <w:widowControl w:val="0"/>
              <w:kinsoku/>
              <w:wordWrap/>
              <w:overflowPunct/>
              <w:topLinePunct w:val="0"/>
              <w:autoSpaceDE/>
              <w:autoSpaceDN/>
              <w:bidi w:val="0"/>
              <w:adjustRightInd/>
              <w:snapToGrid/>
              <w:spacing w:line="440" w:lineRule="exact"/>
              <w:ind w:left="1"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依据《中华人民共和国招标投标法中华人民共和国招标投标法实施条例</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规定，认为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项目的采购活动中有</w:t>
            </w:r>
            <w:r>
              <w:rPr>
                <w:rFonts w:hint="eastAsia" w:asciiTheme="minorEastAsia" w:hAnsiTheme="minorEastAsia" w:eastAsiaTheme="minorEastAsia" w:cstheme="minorEastAsia"/>
                <w:color w:val="auto"/>
                <w:sz w:val="24"/>
                <w:highlight w:val="none"/>
                <w:lang w:eastAsia="zh-CN"/>
              </w:rPr>
              <w:t>几项</w:t>
            </w:r>
            <w:r>
              <w:rPr>
                <w:rFonts w:hint="eastAsia" w:asciiTheme="minorEastAsia" w:hAnsiTheme="minorEastAsia" w:eastAsiaTheme="minorEastAsia" w:cstheme="minorEastAsia"/>
                <w:color w:val="auto"/>
                <w:sz w:val="24"/>
                <w:highlight w:val="none"/>
              </w:rPr>
              <w:t>内容损害了我公司的权益，现以书面原件形式提出异议。并根据《中华人民共和国招标投标法》</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中华人民共和国招标投标法实施条例</w:t>
            </w:r>
            <w:r>
              <w:rPr>
                <w:rFonts w:hint="eastAsia" w:asciiTheme="minorEastAsia" w:hAnsiTheme="minorEastAsia" w:eastAsiaTheme="minorEastAsia" w:cstheme="minorEastAsia"/>
                <w:color w:val="auto"/>
                <w:sz w:val="24"/>
                <w:highlight w:val="none"/>
                <w:lang w:eastAsia="zh-CN"/>
              </w:rPr>
              <w:t>》的</w:t>
            </w:r>
            <w:r>
              <w:rPr>
                <w:rFonts w:hint="eastAsia" w:asciiTheme="minorEastAsia" w:hAnsiTheme="minorEastAsia" w:eastAsiaTheme="minorEastAsia" w:cstheme="minorEastAsia"/>
                <w:color w:val="auto"/>
                <w:kern w:val="0"/>
                <w:sz w:val="24"/>
                <w:highlight w:val="none"/>
              </w:rPr>
              <w:t>规定，提出以下请求和提供必要的证明材料。</w:t>
            </w:r>
            <w:r>
              <w:rPr>
                <w:rFonts w:hint="eastAsia" w:asciiTheme="minorEastAsia" w:hAnsiTheme="minorEastAsia" w:eastAsiaTheme="minorEastAsia" w:cstheme="minorEastAsia"/>
                <w:color w:val="auto"/>
                <w:sz w:val="24"/>
                <w:highlight w:val="none"/>
              </w:rPr>
              <w:t>异议</w:t>
            </w:r>
            <w:r>
              <w:rPr>
                <w:rFonts w:hint="eastAsia" w:asciiTheme="minorEastAsia" w:hAnsiTheme="minorEastAsia" w:eastAsiaTheme="minorEastAsia" w:cstheme="minorEastAsia"/>
                <w:color w:val="auto"/>
                <w:kern w:val="0"/>
                <w:sz w:val="24"/>
                <w:highlight w:val="none"/>
              </w:rPr>
              <w:t>的事实和理由：</w:t>
            </w:r>
          </w:p>
          <w:p w14:paraId="44C40E5E">
            <w:pPr>
              <w:keepNext w:val="0"/>
              <w:keepLines w:val="0"/>
              <w:pageBreakBefore w:val="0"/>
              <w:widowControl w:val="0"/>
              <w:kinsoku/>
              <w:wordWrap/>
              <w:overflowPunct/>
              <w:topLinePunct w:val="0"/>
              <w:autoSpaceDE/>
              <w:autoSpaceDN/>
              <w:bidi w:val="0"/>
              <w:adjustRightInd/>
              <w:snapToGrid/>
              <w:spacing w:line="440" w:lineRule="exact"/>
              <w:ind w:left="1" w:firstLine="468" w:firstLineChars="19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(事宜经过)            </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(事宜经过)            </w:t>
            </w:r>
            <w:r>
              <w:rPr>
                <w:rFonts w:hint="eastAsia" w:asciiTheme="minorEastAsia" w:hAnsiTheme="minorEastAsia" w:eastAsiaTheme="minorEastAsia" w:cstheme="minorEastAsia"/>
                <w:color w:val="auto"/>
                <w:sz w:val="24"/>
                <w:highlight w:val="none"/>
              </w:rPr>
              <w:t>；……</w:t>
            </w:r>
          </w:p>
          <w:p w14:paraId="315A5F8B">
            <w:pPr>
              <w:keepNext w:val="0"/>
              <w:keepLines w:val="0"/>
              <w:pageBreakBefore w:val="0"/>
              <w:widowControl w:val="0"/>
              <w:kinsoku/>
              <w:wordWrap/>
              <w:overflowPunct/>
              <w:topLinePunct w:val="0"/>
              <w:autoSpaceDE/>
              <w:autoSpaceDN/>
              <w:bidi w:val="0"/>
              <w:adjustRightInd/>
              <w:snapToGrid/>
              <w:spacing w:line="440" w:lineRule="exact"/>
              <w:ind w:left="1" w:firstLine="468" w:firstLineChars="19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我们认为，以上几项，违背了招标投标法规的有关规定，其中第1项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违背《</w:t>
            </w:r>
            <w:r>
              <w:rPr>
                <w:rFonts w:hint="eastAsia" w:asciiTheme="minorEastAsia" w:hAnsiTheme="minorEastAsia" w:eastAsiaTheme="minorEastAsia" w:cstheme="minorEastAsia"/>
                <w:color w:val="auto"/>
                <w:sz w:val="24"/>
                <w:highlight w:val="none"/>
                <w:u w:val="single"/>
              </w:rPr>
              <w:t xml:space="preserve">           法</w:t>
            </w: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条的“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”规定，第2项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违背《</w:t>
            </w:r>
            <w:r>
              <w:rPr>
                <w:rFonts w:hint="eastAsia" w:asciiTheme="minorEastAsia" w:hAnsiTheme="minorEastAsia" w:eastAsiaTheme="minorEastAsia" w:cstheme="minorEastAsia"/>
                <w:color w:val="auto"/>
                <w:sz w:val="24"/>
                <w:highlight w:val="none"/>
                <w:u w:val="single"/>
              </w:rPr>
              <w:t xml:space="preserve">              法</w:t>
            </w: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条的规定，请予审查纠正为盼。</w:t>
            </w:r>
          </w:p>
          <w:p w14:paraId="7E90E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异议人(全称并加盖公章)：</w:t>
            </w:r>
            <w:r>
              <w:rPr>
                <w:rFonts w:hint="eastAsia" w:asciiTheme="minorEastAsia" w:hAnsiTheme="minorEastAsia" w:eastAsiaTheme="minorEastAsia" w:cstheme="minorEastAsia"/>
                <w:color w:val="auto"/>
                <w:sz w:val="24"/>
                <w:highlight w:val="none"/>
                <w:u w:val="single"/>
              </w:rPr>
              <w:t xml:space="preserve">          </w:t>
            </w:r>
          </w:p>
          <w:p w14:paraId="2A1AEC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法定代表人签字：</w:t>
            </w:r>
            <w:r>
              <w:rPr>
                <w:rFonts w:hint="eastAsia" w:asciiTheme="minorEastAsia" w:hAnsiTheme="minorEastAsia" w:eastAsiaTheme="minorEastAsia" w:cstheme="minorEastAsia"/>
                <w:color w:val="auto"/>
                <w:sz w:val="24"/>
                <w:highlight w:val="none"/>
                <w:u w:val="single"/>
              </w:rPr>
              <w:t xml:space="preserve">          </w:t>
            </w:r>
          </w:p>
          <w:p w14:paraId="20E841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委托人签字：</w:t>
            </w:r>
            <w:r>
              <w:rPr>
                <w:rFonts w:hint="eastAsia" w:asciiTheme="minorEastAsia" w:hAnsiTheme="minorEastAsia" w:eastAsiaTheme="minorEastAsia" w:cstheme="minorEastAsia"/>
                <w:color w:val="auto"/>
                <w:sz w:val="24"/>
                <w:highlight w:val="none"/>
                <w:u w:val="single"/>
              </w:rPr>
              <w:t xml:space="preserve">          </w:t>
            </w:r>
          </w:p>
          <w:p w14:paraId="7D6796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p>
          <w:p w14:paraId="0ECB93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传真：</w:t>
            </w:r>
            <w:r>
              <w:rPr>
                <w:rFonts w:hint="eastAsia" w:asciiTheme="minorEastAsia" w:hAnsiTheme="minorEastAsia" w:eastAsiaTheme="minorEastAsia" w:cstheme="minorEastAsia"/>
                <w:color w:val="auto"/>
                <w:sz w:val="24"/>
                <w:highlight w:val="none"/>
                <w:u w:val="single"/>
              </w:rPr>
              <w:t xml:space="preserve">         </w:t>
            </w:r>
          </w:p>
          <w:p w14:paraId="0E4B55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日期：</w:t>
            </w:r>
            <w:r>
              <w:rPr>
                <w:rFonts w:hint="eastAsia" w:asciiTheme="minorEastAsia" w:hAnsiTheme="minorEastAsia" w:eastAsiaTheme="minorEastAsia" w:cstheme="minorEastAsia"/>
                <w:color w:val="auto"/>
                <w:sz w:val="24"/>
                <w:highlight w:val="none"/>
                <w:u w:val="single"/>
              </w:rPr>
              <w:t xml:space="preserve">                     </w:t>
            </w:r>
          </w:p>
          <w:p w14:paraId="6E45A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注：异议人提供的资料应包括但不限于以下内容：</w:t>
            </w:r>
          </w:p>
          <w:p w14:paraId="3B5C86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1.加盖公章法定代表人授权书原件；</w:t>
            </w:r>
          </w:p>
          <w:p w14:paraId="574A5F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2.明确的请求和加盖公章证明材料。</w:t>
            </w:r>
          </w:p>
        </w:tc>
      </w:tr>
    </w:tbl>
    <w:p w14:paraId="13222CB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.4下列情形的异议将不予受理：</w:t>
      </w:r>
    </w:p>
    <w:p w14:paraId="1323697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①异议人不是所投诉招标投标活动的参与者，或者与投诉项目无任何利害关系；</w:t>
      </w:r>
    </w:p>
    <w:p w14:paraId="0FF7ED9E">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②异议事项不具体，且未提供有效线索，难以查证的；</w:t>
      </w:r>
    </w:p>
    <w:p w14:paraId="7A9B49A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③异议未署具投诉人真实姓名、签字和有效联系方式的；以法人名义投诉的，异议未经法定代表人签字并加盖公章的；</w:t>
      </w:r>
    </w:p>
    <w:p w14:paraId="0829C61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④超过异议时效的。</w:t>
      </w:r>
    </w:p>
    <w:p w14:paraId="01D9E88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⑤涉及招标评标过程具体细节、其他投标人的商业秘密或其他投标人的投标文件具体内容</w:t>
      </w:r>
      <w:r>
        <w:rPr>
          <w:rFonts w:hint="eastAsia" w:asciiTheme="minorEastAsia" w:hAnsiTheme="minorEastAsia" w:eastAsiaTheme="minorEastAsia" w:cstheme="minorEastAsia"/>
          <w:color w:val="auto"/>
          <w:sz w:val="24"/>
          <w:szCs w:val="24"/>
          <w:highlight w:val="none"/>
        </w:rPr>
        <w:t>但未能说明内</w:t>
      </w:r>
      <w:r>
        <w:rPr>
          <w:rFonts w:hint="eastAsia" w:asciiTheme="minorEastAsia" w:hAnsiTheme="minorEastAsia" w:eastAsiaTheme="minorEastAsia" w:cstheme="minorEastAsia"/>
          <w:color w:val="auto"/>
          <w:sz w:val="24"/>
          <w:szCs w:val="24"/>
          <w:highlight w:val="none"/>
          <w:lang w:eastAsia="zh-CN"/>
        </w:rPr>
        <w:t>容的</w:t>
      </w:r>
      <w:r>
        <w:rPr>
          <w:rFonts w:hint="eastAsia" w:asciiTheme="minorEastAsia" w:hAnsiTheme="minorEastAsia" w:eastAsiaTheme="minorEastAsia" w:cstheme="minorEastAsia"/>
          <w:color w:val="auto"/>
          <w:sz w:val="24"/>
          <w:szCs w:val="24"/>
          <w:highlight w:val="none"/>
        </w:rPr>
        <w:t>真实性和来源合法性的。</w:t>
      </w:r>
    </w:p>
    <w:p w14:paraId="474FBCF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.5异议的受理</w:t>
      </w:r>
    </w:p>
    <w:p w14:paraId="5FA9FDB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.5.1招标代理机构审查投标人提供的书面材料，内容不符合规定的，一次性书面告知投标人修改或补充后在规定的期限内重新提出异议，重新提出异议日期为提出异议日期，符合条件的，予以受理。</w:t>
      </w:r>
    </w:p>
    <w:p w14:paraId="6C228AFF">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.6异议人应保证异议、投诉的真实性和可靠性，并承担相应的法律责任。对捏造事实或者提供虚假投诉材料的，报送监管部门后将被列入不良行为记录名单并在相关网站予以公布。</w:t>
      </w:r>
    </w:p>
    <w:p w14:paraId="5DF2248C">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.7 投标人或者其他利害关系人认为招标投标活动不符合法律、行政法规规定的，可以自知道或者应当知道之日起10日内向投标人须知前附表所述招标项目行政监督管理部门投诉。投诉应当有明确的请求和必要的证明材料。但对招标文件、资格预审文件、开标或评标结果投诉的，应当先向招标人提出异议。</w:t>
      </w:r>
    </w:p>
    <w:p w14:paraId="228D668E">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23.8</w:t>
      </w:r>
      <w:r>
        <w:rPr>
          <w:rFonts w:hint="eastAsia" w:ascii="宋体" w:hAnsi="宋体" w:eastAsia="宋体" w:cs="宋体"/>
          <w:sz w:val="24"/>
          <w:szCs w:val="24"/>
          <w:highlight w:val="none"/>
        </w:rPr>
        <w:t>异议人在法定</w:t>
      </w:r>
      <w:r>
        <w:rPr>
          <w:rFonts w:hint="eastAsia" w:ascii="宋体" w:hAnsi="宋体" w:cs="宋体"/>
          <w:sz w:val="24"/>
          <w:szCs w:val="24"/>
          <w:highlight w:val="none"/>
        </w:rPr>
        <w:t>异议</w:t>
      </w:r>
      <w:r>
        <w:rPr>
          <w:rFonts w:hint="eastAsia" w:ascii="宋体" w:hAnsi="宋体" w:eastAsia="宋体" w:cs="宋体"/>
          <w:sz w:val="24"/>
          <w:szCs w:val="24"/>
          <w:highlight w:val="none"/>
        </w:rPr>
        <w:t>期内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异议人须一次性提出针对同一采购程序环节的质疑，二（多）次</w:t>
      </w:r>
      <w:r>
        <w:rPr>
          <w:rFonts w:hint="eastAsia" w:ascii="宋体" w:hAnsi="宋体" w:cs="宋体"/>
          <w:sz w:val="24"/>
          <w:szCs w:val="24"/>
          <w:highlight w:val="none"/>
        </w:rPr>
        <w:t>异议</w:t>
      </w:r>
      <w:r>
        <w:rPr>
          <w:rFonts w:hint="eastAsia" w:ascii="宋体" w:hAnsi="宋体" w:eastAsia="宋体" w:cs="宋体"/>
          <w:sz w:val="24"/>
          <w:szCs w:val="24"/>
          <w:highlight w:val="none"/>
        </w:rPr>
        <w:t>不予受理。</w:t>
      </w:r>
    </w:p>
    <w:p w14:paraId="30D10057">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rPr>
        <w:t>招标项目监督部门</w:t>
      </w:r>
    </w:p>
    <w:p w14:paraId="4738308C">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1由招标项目监督部门派员对本招标活动的</w:t>
      </w:r>
      <w:r>
        <w:rPr>
          <w:rFonts w:hint="eastAsia" w:asciiTheme="minorEastAsia" w:hAnsiTheme="minorEastAsia" w:eastAsiaTheme="minorEastAsia" w:cstheme="minorEastAsia"/>
          <w:color w:val="auto"/>
          <w:sz w:val="24"/>
          <w:szCs w:val="24"/>
          <w:highlight w:val="none"/>
          <w:lang w:eastAsia="zh-CN"/>
        </w:rPr>
        <w:t>全过</w:t>
      </w:r>
      <w:r>
        <w:rPr>
          <w:rFonts w:hint="eastAsia" w:asciiTheme="minorEastAsia" w:hAnsiTheme="minorEastAsia" w:eastAsiaTheme="minorEastAsia" w:cstheme="minorEastAsia"/>
          <w:color w:val="auto"/>
          <w:sz w:val="24"/>
          <w:szCs w:val="24"/>
          <w:highlight w:val="none"/>
        </w:rPr>
        <w:t>程进行监督。</w:t>
      </w:r>
    </w:p>
    <w:p w14:paraId="3DBBDE3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24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2投标人如对招标活动有异议，可以按照有关规定向投标人须知前附表第17项所述招标项目监督部门投诉。</w:t>
      </w:r>
    </w:p>
    <w:p w14:paraId="0DA486BD">
      <w:pPr>
        <w:spacing w:line="360" w:lineRule="auto"/>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br w:type="page"/>
      </w:r>
    </w:p>
    <w:p w14:paraId="1BEB361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heme="minorEastAsia" w:hAnsiTheme="minorEastAsia" w:eastAsiaTheme="minorEastAsia" w:cstheme="minorEastAsia"/>
          <w:b/>
          <w:color w:val="auto"/>
          <w:sz w:val="32"/>
          <w:szCs w:val="32"/>
          <w:highlight w:val="none"/>
        </w:rPr>
      </w:pPr>
      <w:bookmarkStart w:id="11" w:name="_Toc16352"/>
      <w:r>
        <w:rPr>
          <w:rFonts w:hint="eastAsia" w:asciiTheme="minorEastAsia" w:hAnsiTheme="minorEastAsia" w:eastAsiaTheme="minorEastAsia" w:cstheme="minorEastAsia"/>
          <w:b/>
          <w:color w:val="auto"/>
          <w:sz w:val="32"/>
          <w:szCs w:val="32"/>
          <w:highlight w:val="none"/>
        </w:rPr>
        <w:t>第三章  招标内容及要求</w:t>
      </w:r>
      <w:bookmarkEnd w:id="11"/>
    </w:p>
    <w:p w14:paraId="50DC96DA">
      <w:pPr>
        <w:keepNext w:val="0"/>
        <w:keepLines w:val="0"/>
        <w:pageBreakBefore w:val="0"/>
        <w:kinsoku/>
        <w:wordWrap/>
        <w:topLinePunct w:val="0"/>
        <w:bidi w:val="0"/>
        <w:snapToGrid/>
        <w:spacing w:line="400" w:lineRule="exact"/>
        <w:outlineLvl w:val="1"/>
        <w:rPr>
          <w:rFonts w:hint="eastAsia" w:asciiTheme="minorEastAsia" w:hAnsiTheme="minorEastAsia" w:eastAsiaTheme="minorEastAsia" w:cstheme="minorEastAsia"/>
          <w:b/>
          <w:bCs/>
          <w:color w:val="auto"/>
          <w:sz w:val="24"/>
          <w:szCs w:val="24"/>
          <w:highlight w:val="none"/>
        </w:rPr>
      </w:pPr>
      <w:bookmarkStart w:id="12" w:name="_Toc10136"/>
      <w:bookmarkStart w:id="13" w:name="_Toc515463581"/>
      <w:bookmarkStart w:id="14" w:name="_Toc422495155"/>
      <w:bookmarkStart w:id="15" w:name="_Toc477951780"/>
      <w:r>
        <w:rPr>
          <w:rFonts w:hint="eastAsia" w:asciiTheme="minorEastAsia" w:hAnsiTheme="minorEastAsia" w:eastAsiaTheme="minorEastAsia" w:cstheme="minorEastAsia"/>
          <w:b/>
          <w:bCs/>
          <w:color w:val="auto"/>
          <w:sz w:val="24"/>
          <w:szCs w:val="24"/>
          <w:highlight w:val="none"/>
        </w:rPr>
        <w:t>一、项目概况</w:t>
      </w:r>
      <w:bookmarkEnd w:id="12"/>
      <w:bookmarkEnd w:id="13"/>
      <w:bookmarkEnd w:id="14"/>
      <w:bookmarkEnd w:id="15"/>
    </w:p>
    <w:p w14:paraId="79E23869">
      <w:pPr>
        <w:pStyle w:val="2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left"/>
        <w:textAlignment w:val="auto"/>
        <w:rPr>
          <w:rFonts w:hint="eastAsia" w:ascii="宋体" w:hAnsi="宋体" w:eastAsia="宋体" w:cs="宋体"/>
          <w:color w:val="auto"/>
          <w:sz w:val="24"/>
          <w:szCs w:val="24"/>
          <w:shd w:val="clear" w:fill="FFFFFF"/>
        </w:rPr>
      </w:pPr>
      <w:bookmarkStart w:id="16" w:name="_Toc477951781"/>
      <w:bookmarkStart w:id="17" w:name="_Toc422495156"/>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shd w:val="clear" w:fill="FFFFFF"/>
          <w:lang w:val="en-US" w:eastAsia="zh-CN"/>
        </w:rPr>
        <w:t>.</w:t>
      </w:r>
      <w:r>
        <w:rPr>
          <w:rFonts w:hint="eastAsia" w:ascii="宋体" w:hAnsi="宋体" w:eastAsia="宋体" w:cs="宋体"/>
          <w:color w:val="auto"/>
          <w:sz w:val="24"/>
          <w:szCs w:val="24"/>
          <w:shd w:val="clear" w:fill="FFFFFF"/>
        </w:rPr>
        <w:t>受</w:t>
      </w:r>
      <w:r>
        <w:rPr>
          <w:rFonts w:hint="eastAsia" w:ascii="宋体" w:hAnsi="宋体" w:eastAsia="宋体" w:cs="宋体"/>
          <w:color w:val="auto"/>
          <w:sz w:val="24"/>
          <w:szCs w:val="24"/>
          <w:shd w:val="clear" w:fill="FFFFFF"/>
          <w:lang w:eastAsia="zh-CN"/>
        </w:rPr>
        <w:t>南平武夷文旅研究院有限公司</w:t>
      </w:r>
      <w:r>
        <w:rPr>
          <w:rFonts w:hint="eastAsia" w:ascii="宋体" w:hAnsi="宋体" w:eastAsia="宋体" w:cs="宋体"/>
          <w:color w:val="auto"/>
          <w:sz w:val="24"/>
          <w:szCs w:val="24"/>
          <w:shd w:val="clear" w:fill="FFFFFF"/>
        </w:rPr>
        <w:t>的委托，对</w:t>
      </w:r>
      <w:r>
        <w:rPr>
          <w:rFonts w:hint="eastAsia" w:ascii="宋体" w:hAnsi="宋体" w:eastAsia="宋体" w:cs="宋体"/>
          <w:color w:val="auto"/>
          <w:sz w:val="24"/>
          <w:szCs w:val="24"/>
          <w:shd w:val="clear" w:fill="FFFFFF"/>
          <w:lang w:eastAsia="zh-CN"/>
        </w:rPr>
        <w:t>南平市铁路旅游主题列车改造项目</w:t>
      </w:r>
      <w:r>
        <w:rPr>
          <w:rFonts w:hint="eastAsia" w:ascii="宋体" w:hAnsi="宋体" w:eastAsia="宋体" w:cs="宋体"/>
          <w:color w:val="auto"/>
          <w:sz w:val="24"/>
          <w:szCs w:val="24"/>
          <w:shd w:val="clear" w:fill="FFFFFF"/>
        </w:rPr>
        <w:t>进行国内公开招标。</w:t>
      </w:r>
      <w:bookmarkEnd w:id="16"/>
      <w:bookmarkEnd w:id="17"/>
      <w:bookmarkStart w:id="18" w:name="_Toc11016"/>
    </w:p>
    <w:p w14:paraId="64F772F1">
      <w:pPr>
        <w:pStyle w:val="27"/>
        <w:keepNext/>
        <w:keepLines/>
        <w:pageBreakBefore w:val="0"/>
        <w:widowControl w:val="0"/>
        <w:kinsoku/>
        <w:wordWrap/>
        <w:overflowPunct/>
        <w:topLinePunct w:val="0"/>
        <w:autoSpaceDE/>
        <w:autoSpaceDN/>
        <w:bidi w:val="0"/>
        <w:adjustRightInd/>
        <w:snapToGrid/>
        <w:spacing w:before="0" w:after="0"/>
        <w:ind w:firstLine="480" w:firstLineChars="200"/>
        <w:jc w:val="left"/>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2.报价清单</w:t>
      </w:r>
    </w:p>
    <w:tbl>
      <w:tblPr>
        <w:tblStyle w:val="32"/>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6"/>
        <w:gridCol w:w="1201"/>
        <w:gridCol w:w="1309"/>
        <w:gridCol w:w="1425"/>
        <w:gridCol w:w="1062"/>
        <w:gridCol w:w="1156"/>
        <w:gridCol w:w="1157"/>
        <w:gridCol w:w="1011"/>
      </w:tblGrid>
      <w:tr w14:paraId="7472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blHeader/>
          <w:jc w:val="center"/>
        </w:trPr>
        <w:tc>
          <w:tcPr>
            <w:tcW w:w="1436" w:type="dxa"/>
            <w:tcBorders>
              <w:top w:val="single" w:color="000000" w:sz="8" w:space="0"/>
              <w:left w:val="single" w:color="000000" w:sz="8" w:space="0"/>
              <w:bottom w:val="single" w:color="000000" w:sz="8" w:space="0"/>
              <w:right w:val="single" w:color="000000" w:sz="8" w:space="0"/>
            </w:tcBorders>
            <w:noWrap/>
            <w:vAlign w:val="center"/>
          </w:tcPr>
          <w:p w14:paraId="09E7AC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1201" w:type="dxa"/>
            <w:tcBorders>
              <w:top w:val="single" w:color="000000" w:sz="8" w:space="0"/>
              <w:left w:val="single" w:color="000000" w:sz="8" w:space="0"/>
              <w:bottom w:val="single" w:color="000000" w:sz="8" w:space="0"/>
              <w:right w:val="single" w:color="000000" w:sz="8" w:space="0"/>
            </w:tcBorders>
            <w:noWrap/>
            <w:vAlign w:val="center"/>
          </w:tcPr>
          <w:p w14:paraId="6E1881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734" w:type="dxa"/>
            <w:gridSpan w:val="2"/>
            <w:tcBorders>
              <w:top w:val="single" w:color="000000" w:sz="8" w:space="0"/>
              <w:left w:val="single" w:color="000000" w:sz="8" w:space="0"/>
              <w:bottom w:val="single" w:color="000000" w:sz="8" w:space="0"/>
              <w:right w:val="single" w:color="000000" w:sz="8" w:space="0"/>
            </w:tcBorders>
            <w:noWrap/>
            <w:vAlign w:val="center"/>
          </w:tcPr>
          <w:p w14:paraId="33D0E2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报价明细内容</w:t>
            </w:r>
          </w:p>
        </w:tc>
        <w:tc>
          <w:tcPr>
            <w:tcW w:w="1062" w:type="dxa"/>
            <w:tcBorders>
              <w:top w:val="single" w:color="000000" w:sz="8" w:space="0"/>
              <w:left w:val="single" w:color="000000" w:sz="8" w:space="0"/>
              <w:bottom w:val="single" w:color="000000" w:sz="8" w:space="0"/>
              <w:right w:val="single" w:color="000000" w:sz="8" w:space="0"/>
            </w:tcBorders>
            <w:noWrap/>
            <w:vAlign w:val="center"/>
          </w:tcPr>
          <w:p w14:paraId="10011D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56" w:type="dxa"/>
            <w:tcBorders>
              <w:top w:val="single" w:color="000000" w:sz="8" w:space="0"/>
              <w:left w:val="single" w:color="000000" w:sz="8" w:space="0"/>
              <w:bottom w:val="single" w:color="000000" w:sz="8" w:space="0"/>
              <w:right w:val="single" w:color="000000" w:sz="8" w:space="0"/>
            </w:tcBorders>
            <w:noWrap/>
            <w:vAlign w:val="center"/>
          </w:tcPr>
          <w:p w14:paraId="7F86F1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157" w:type="dxa"/>
            <w:tcBorders>
              <w:top w:val="single" w:color="000000" w:sz="8" w:space="0"/>
              <w:left w:val="single" w:color="000000" w:sz="8" w:space="0"/>
              <w:bottom w:val="single" w:color="000000" w:sz="8" w:space="0"/>
              <w:right w:val="single" w:color="000000" w:sz="8" w:space="0"/>
            </w:tcBorders>
            <w:noWrap/>
            <w:vAlign w:val="center"/>
          </w:tcPr>
          <w:p w14:paraId="2498DC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总价</w:t>
            </w:r>
          </w:p>
        </w:tc>
        <w:tc>
          <w:tcPr>
            <w:tcW w:w="1011" w:type="dxa"/>
            <w:tcBorders>
              <w:top w:val="single" w:color="000000" w:sz="8" w:space="0"/>
              <w:left w:val="single" w:color="000000" w:sz="8" w:space="0"/>
              <w:bottom w:val="single" w:color="000000" w:sz="8" w:space="0"/>
              <w:right w:val="single" w:color="000000" w:sz="8" w:space="0"/>
            </w:tcBorders>
            <w:noWrap/>
            <w:vAlign w:val="center"/>
          </w:tcPr>
          <w:p w14:paraId="601D16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AE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36" w:type="dxa"/>
            <w:vMerge w:val="restart"/>
            <w:tcBorders>
              <w:top w:val="nil"/>
              <w:left w:val="single" w:color="000000" w:sz="8" w:space="0"/>
              <w:bottom w:val="single" w:color="000000" w:sz="8" w:space="0"/>
              <w:right w:val="single" w:color="000000" w:sz="8" w:space="0"/>
            </w:tcBorders>
            <w:noWrap w:val="0"/>
            <w:vAlign w:val="center"/>
          </w:tcPr>
          <w:p w14:paraId="1F04DC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设计服务费用</w:t>
            </w:r>
          </w:p>
        </w:tc>
        <w:tc>
          <w:tcPr>
            <w:tcW w:w="1201" w:type="dxa"/>
            <w:tcBorders>
              <w:top w:val="nil"/>
              <w:left w:val="single" w:color="000000" w:sz="8" w:space="0"/>
              <w:bottom w:val="single" w:color="000000" w:sz="8" w:space="0"/>
              <w:right w:val="single" w:color="000000" w:sz="8" w:space="0"/>
            </w:tcBorders>
            <w:noWrap w:val="0"/>
            <w:vAlign w:val="center"/>
          </w:tcPr>
          <w:p w14:paraId="080350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34" w:type="dxa"/>
            <w:gridSpan w:val="2"/>
            <w:tcBorders>
              <w:top w:val="nil"/>
              <w:left w:val="single" w:color="000000" w:sz="8" w:space="0"/>
              <w:bottom w:val="single" w:color="000000" w:sz="8" w:space="0"/>
              <w:right w:val="single" w:color="000000" w:sz="8" w:space="0"/>
            </w:tcBorders>
            <w:noWrap w:val="0"/>
            <w:vAlign w:val="center"/>
          </w:tcPr>
          <w:p w14:paraId="346302B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舒适型座席车厢</w:t>
            </w:r>
          </w:p>
        </w:tc>
        <w:tc>
          <w:tcPr>
            <w:tcW w:w="1062" w:type="dxa"/>
            <w:tcBorders>
              <w:top w:val="nil"/>
              <w:left w:val="single" w:color="000000" w:sz="8" w:space="0"/>
              <w:bottom w:val="single" w:color="000000" w:sz="8" w:space="0"/>
              <w:right w:val="single" w:color="000000" w:sz="8" w:space="0"/>
            </w:tcBorders>
            <w:noWrap w:val="0"/>
            <w:vAlign w:val="center"/>
          </w:tcPr>
          <w:p w14:paraId="3F4534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4辆</w:t>
            </w:r>
          </w:p>
        </w:tc>
        <w:tc>
          <w:tcPr>
            <w:tcW w:w="1156" w:type="dxa"/>
            <w:tcBorders>
              <w:top w:val="nil"/>
              <w:left w:val="single" w:color="000000" w:sz="8" w:space="0"/>
              <w:bottom w:val="single" w:color="000000" w:sz="8" w:space="0"/>
              <w:right w:val="single" w:color="000000" w:sz="8" w:space="0"/>
            </w:tcBorders>
            <w:noWrap w:val="0"/>
            <w:vAlign w:val="center"/>
          </w:tcPr>
          <w:p w14:paraId="36FD94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E1665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4D604F7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CFD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D28F6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544B1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34" w:type="dxa"/>
            <w:gridSpan w:val="2"/>
            <w:tcBorders>
              <w:top w:val="nil"/>
              <w:left w:val="single" w:color="000000" w:sz="8" w:space="0"/>
              <w:bottom w:val="single" w:color="000000" w:sz="8" w:space="0"/>
              <w:right w:val="single" w:color="000000" w:sz="8" w:space="0"/>
            </w:tcBorders>
            <w:noWrap w:val="0"/>
            <w:vAlign w:val="center"/>
          </w:tcPr>
          <w:p w14:paraId="627CFC5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包厢座席车厢</w:t>
            </w:r>
          </w:p>
        </w:tc>
        <w:tc>
          <w:tcPr>
            <w:tcW w:w="1062" w:type="dxa"/>
            <w:tcBorders>
              <w:top w:val="nil"/>
              <w:left w:val="single" w:color="000000" w:sz="8" w:space="0"/>
              <w:bottom w:val="single" w:color="000000" w:sz="8" w:space="0"/>
              <w:right w:val="single" w:color="000000" w:sz="8" w:space="0"/>
            </w:tcBorders>
            <w:noWrap w:val="0"/>
            <w:vAlign w:val="center"/>
          </w:tcPr>
          <w:p w14:paraId="078EC1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辆</w:t>
            </w:r>
          </w:p>
        </w:tc>
        <w:tc>
          <w:tcPr>
            <w:tcW w:w="1156" w:type="dxa"/>
            <w:tcBorders>
              <w:top w:val="nil"/>
              <w:left w:val="single" w:color="000000" w:sz="8" w:space="0"/>
              <w:bottom w:val="single" w:color="000000" w:sz="8" w:space="0"/>
              <w:right w:val="single" w:color="000000" w:sz="8" w:space="0"/>
            </w:tcBorders>
            <w:noWrap w:val="0"/>
            <w:vAlign w:val="center"/>
          </w:tcPr>
          <w:p w14:paraId="1440F7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05ED0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76869A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4A3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BE28B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65FA8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2734" w:type="dxa"/>
            <w:gridSpan w:val="2"/>
            <w:tcBorders>
              <w:top w:val="nil"/>
              <w:left w:val="single" w:color="000000" w:sz="8" w:space="0"/>
              <w:bottom w:val="single" w:color="000000" w:sz="8" w:space="0"/>
              <w:right w:val="single" w:color="000000" w:sz="8" w:space="0"/>
            </w:tcBorders>
            <w:noWrap w:val="0"/>
            <w:vAlign w:val="center"/>
          </w:tcPr>
          <w:p w14:paraId="095D154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亲子座席车厢</w:t>
            </w:r>
          </w:p>
        </w:tc>
        <w:tc>
          <w:tcPr>
            <w:tcW w:w="1062" w:type="dxa"/>
            <w:tcBorders>
              <w:top w:val="nil"/>
              <w:left w:val="single" w:color="000000" w:sz="8" w:space="0"/>
              <w:bottom w:val="single" w:color="000000" w:sz="8" w:space="0"/>
              <w:right w:val="single" w:color="000000" w:sz="8" w:space="0"/>
            </w:tcBorders>
            <w:noWrap w:val="0"/>
            <w:vAlign w:val="center"/>
          </w:tcPr>
          <w:p w14:paraId="053C23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1辆</w:t>
            </w:r>
          </w:p>
        </w:tc>
        <w:tc>
          <w:tcPr>
            <w:tcW w:w="1156" w:type="dxa"/>
            <w:tcBorders>
              <w:top w:val="nil"/>
              <w:left w:val="single" w:color="000000" w:sz="8" w:space="0"/>
              <w:bottom w:val="single" w:color="000000" w:sz="8" w:space="0"/>
              <w:right w:val="single" w:color="000000" w:sz="8" w:space="0"/>
            </w:tcBorders>
            <w:noWrap w:val="0"/>
            <w:vAlign w:val="center"/>
          </w:tcPr>
          <w:p w14:paraId="112F5E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5C6FC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16A966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5E9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E3DF1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133AE4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2734" w:type="dxa"/>
            <w:gridSpan w:val="2"/>
            <w:tcBorders>
              <w:top w:val="nil"/>
              <w:left w:val="single" w:color="000000" w:sz="8" w:space="0"/>
              <w:bottom w:val="single" w:color="000000" w:sz="8" w:space="0"/>
              <w:right w:val="single" w:color="000000" w:sz="8" w:space="0"/>
            </w:tcBorders>
            <w:noWrap w:val="0"/>
            <w:vAlign w:val="center"/>
          </w:tcPr>
          <w:p w14:paraId="2A14ED1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多功能车厢</w:t>
            </w:r>
          </w:p>
        </w:tc>
        <w:tc>
          <w:tcPr>
            <w:tcW w:w="1062" w:type="dxa"/>
            <w:tcBorders>
              <w:top w:val="nil"/>
              <w:left w:val="single" w:color="000000" w:sz="8" w:space="0"/>
              <w:bottom w:val="single" w:color="000000" w:sz="8" w:space="0"/>
              <w:right w:val="single" w:color="000000" w:sz="8" w:space="0"/>
            </w:tcBorders>
            <w:noWrap w:val="0"/>
            <w:vAlign w:val="center"/>
          </w:tcPr>
          <w:p w14:paraId="50C537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辆</w:t>
            </w:r>
          </w:p>
        </w:tc>
        <w:tc>
          <w:tcPr>
            <w:tcW w:w="1156" w:type="dxa"/>
            <w:tcBorders>
              <w:top w:val="nil"/>
              <w:left w:val="single" w:color="000000" w:sz="8" w:space="0"/>
              <w:bottom w:val="single" w:color="000000" w:sz="8" w:space="0"/>
              <w:right w:val="single" w:color="000000" w:sz="8" w:space="0"/>
            </w:tcBorders>
            <w:noWrap w:val="0"/>
            <w:vAlign w:val="center"/>
          </w:tcPr>
          <w:p w14:paraId="2D1FF7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DD183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40B5738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32D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52C90ED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6FAB58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2734" w:type="dxa"/>
            <w:gridSpan w:val="2"/>
            <w:tcBorders>
              <w:top w:val="nil"/>
              <w:left w:val="single" w:color="000000" w:sz="8" w:space="0"/>
              <w:bottom w:val="single" w:color="000000" w:sz="8" w:space="0"/>
              <w:right w:val="single" w:color="000000" w:sz="8" w:space="0"/>
            </w:tcBorders>
            <w:noWrap w:val="0"/>
            <w:vAlign w:val="center"/>
          </w:tcPr>
          <w:p w14:paraId="71F605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全列列车外涂装（含机车、发电车）</w:t>
            </w:r>
          </w:p>
        </w:tc>
        <w:tc>
          <w:tcPr>
            <w:tcW w:w="1062" w:type="dxa"/>
            <w:tcBorders>
              <w:top w:val="nil"/>
              <w:left w:val="single" w:color="000000" w:sz="8" w:space="0"/>
              <w:bottom w:val="single" w:color="000000" w:sz="8" w:space="0"/>
              <w:right w:val="single" w:color="000000" w:sz="8" w:space="0"/>
            </w:tcBorders>
            <w:noWrap w:val="0"/>
            <w:vAlign w:val="center"/>
          </w:tcPr>
          <w:p w14:paraId="25F55F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10辆</w:t>
            </w:r>
          </w:p>
        </w:tc>
        <w:tc>
          <w:tcPr>
            <w:tcW w:w="1156" w:type="dxa"/>
            <w:tcBorders>
              <w:top w:val="nil"/>
              <w:left w:val="single" w:color="000000" w:sz="8" w:space="0"/>
              <w:bottom w:val="single" w:color="000000" w:sz="8" w:space="0"/>
              <w:right w:val="single" w:color="000000" w:sz="8" w:space="0"/>
            </w:tcBorders>
            <w:noWrap w:val="0"/>
            <w:vAlign w:val="center"/>
          </w:tcPr>
          <w:p w14:paraId="76317A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262F35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FA7FCC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含机车发电车</w:t>
            </w:r>
          </w:p>
        </w:tc>
      </w:tr>
      <w:tr w14:paraId="745C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6A4AB8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681B65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6</w:t>
            </w:r>
          </w:p>
        </w:tc>
        <w:tc>
          <w:tcPr>
            <w:tcW w:w="2734" w:type="dxa"/>
            <w:gridSpan w:val="2"/>
            <w:tcBorders>
              <w:top w:val="nil"/>
              <w:left w:val="single" w:color="000000" w:sz="8" w:space="0"/>
              <w:bottom w:val="single" w:color="000000" w:sz="8" w:space="0"/>
              <w:right w:val="single" w:color="000000" w:sz="8" w:space="0"/>
            </w:tcBorders>
            <w:noWrap w:val="0"/>
            <w:vAlign w:val="center"/>
          </w:tcPr>
          <w:p w14:paraId="156CA98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IP形象</w:t>
            </w:r>
          </w:p>
        </w:tc>
        <w:tc>
          <w:tcPr>
            <w:tcW w:w="1062" w:type="dxa"/>
            <w:tcBorders>
              <w:top w:val="nil"/>
              <w:left w:val="single" w:color="000000" w:sz="8" w:space="0"/>
              <w:bottom w:val="single" w:color="000000" w:sz="8" w:space="0"/>
              <w:right w:val="single" w:color="000000" w:sz="8" w:space="0"/>
            </w:tcBorders>
            <w:noWrap w:val="0"/>
            <w:vAlign w:val="center"/>
          </w:tcPr>
          <w:p w14:paraId="5FA273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4550E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67EBD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33AD17E">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573B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84A44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0EB711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2734" w:type="dxa"/>
            <w:gridSpan w:val="2"/>
            <w:tcBorders>
              <w:top w:val="nil"/>
              <w:left w:val="single" w:color="000000" w:sz="8" w:space="0"/>
              <w:bottom w:val="single" w:color="000000" w:sz="8" w:space="0"/>
              <w:right w:val="single" w:color="000000" w:sz="8" w:space="0"/>
            </w:tcBorders>
            <w:noWrap w:val="0"/>
            <w:vAlign w:val="center"/>
          </w:tcPr>
          <w:p w14:paraId="0C2973D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设计顾问服务</w:t>
            </w:r>
          </w:p>
        </w:tc>
        <w:tc>
          <w:tcPr>
            <w:tcW w:w="1062" w:type="dxa"/>
            <w:tcBorders>
              <w:top w:val="nil"/>
              <w:left w:val="single" w:color="000000" w:sz="8" w:space="0"/>
              <w:bottom w:val="single" w:color="000000" w:sz="8" w:space="0"/>
              <w:right w:val="single" w:color="000000" w:sz="8" w:space="0"/>
            </w:tcBorders>
            <w:noWrap w:val="0"/>
            <w:vAlign w:val="center"/>
          </w:tcPr>
          <w:p w14:paraId="64DAAB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6EA12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68D09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411E5D5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ADA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436" w:type="dxa"/>
            <w:vMerge w:val="restart"/>
            <w:tcBorders>
              <w:top w:val="nil"/>
              <w:left w:val="single" w:color="000000" w:sz="8" w:space="0"/>
              <w:bottom w:val="single" w:color="000000" w:sz="8" w:space="0"/>
              <w:right w:val="single" w:color="000000" w:sz="8" w:space="0"/>
            </w:tcBorders>
            <w:noWrap w:val="0"/>
            <w:vAlign w:val="center"/>
          </w:tcPr>
          <w:p w14:paraId="116D1F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厂修及改造费用</w:t>
            </w:r>
          </w:p>
        </w:tc>
        <w:tc>
          <w:tcPr>
            <w:tcW w:w="1201" w:type="dxa"/>
            <w:tcBorders>
              <w:top w:val="nil"/>
              <w:left w:val="single" w:color="000000" w:sz="8" w:space="0"/>
              <w:bottom w:val="single" w:color="000000" w:sz="8" w:space="0"/>
              <w:right w:val="single" w:color="000000" w:sz="8" w:space="0"/>
            </w:tcBorders>
            <w:noWrap w:val="0"/>
            <w:vAlign w:val="center"/>
          </w:tcPr>
          <w:p w14:paraId="753E0B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34" w:type="dxa"/>
            <w:gridSpan w:val="2"/>
            <w:tcBorders>
              <w:top w:val="nil"/>
              <w:left w:val="single" w:color="000000" w:sz="8" w:space="0"/>
              <w:bottom w:val="single" w:color="000000" w:sz="8" w:space="0"/>
              <w:right w:val="single" w:color="000000" w:sz="8" w:space="0"/>
            </w:tcBorders>
            <w:noWrap w:val="0"/>
            <w:vAlign w:val="center"/>
          </w:tcPr>
          <w:p w14:paraId="1254B6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基础厂修费用（此报价以25G型AC380V硬座为车源进行厂修报价）</w:t>
            </w:r>
          </w:p>
        </w:tc>
        <w:tc>
          <w:tcPr>
            <w:tcW w:w="1062" w:type="dxa"/>
            <w:tcBorders>
              <w:top w:val="nil"/>
              <w:left w:val="single" w:color="000000" w:sz="8" w:space="0"/>
              <w:bottom w:val="single" w:color="000000" w:sz="8" w:space="0"/>
              <w:right w:val="single" w:color="000000" w:sz="8" w:space="0"/>
            </w:tcBorders>
            <w:noWrap w:val="0"/>
            <w:vAlign w:val="center"/>
          </w:tcPr>
          <w:p w14:paraId="0D74F2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73C04B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A2E1E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22AFF2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6B9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0ED2D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03E3CE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34" w:type="dxa"/>
            <w:gridSpan w:val="2"/>
            <w:tcBorders>
              <w:top w:val="nil"/>
              <w:left w:val="single" w:color="000000" w:sz="8" w:space="0"/>
              <w:bottom w:val="single" w:color="000000" w:sz="8" w:space="0"/>
              <w:right w:val="single" w:color="000000" w:sz="8" w:space="0"/>
            </w:tcBorders>
            <w:noWrap w:val="0"/>
            <w:vAlign w:val="center"/>
          </w:tcPr>
          <w:p w14:paraId="6D964A7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厂修列规程改造项目</w:t>
            </w:r>
          </w:p>
        </w:tc>
        <w:tc>
          <w:tcPr>
            <w:tcW w:w="1062" w:type="dxa"/>
            <w:tcBorders>
              <w:top w:val="nil"/>
              <w:left w:val="single" w:color="000000" w:sz="8" w:space="0"/>
              <w:bottom w:val="single" w:color="000000" w:sz="8" w:space="0"/>
              <w:right w:val="single" w:color="000000" w:sz="8" w:space="0"/>
            </w:tcBorders>
            <w:noWrap w:val="0"/>
            <w:vAlign w:val="center"/>
          </w:tcPr>
          <w:p w14:paraId="587F5D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7C3F9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32F07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FA9CCA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8C0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59A5A4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640D0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734" w:type="dxa"/>
            <w:gridSpan w:val="2"/>
            <w:tcBorders>
              <w:top w:val="nil"/>
              <w:left w:val="single" w:color="000000" w:sz="8" w:space="0"/>
              <w:bottom w:val="single" w:color="000000" w:sz="8" w:space="0"/>
              <w:right w:val="single" w:color="000000" w:sz="8" w:space="0"/>
            </w:tcBorders>
            <w:noWrap w:val="0"/>
            <w:vAlign w:val="center"/>
          </w:tcPr>
          <w:p w14:paraId="4514871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电子防滑器检修</w:t>
            </w:r>
          </w:p>
        </w:tc>
        <w:tc>
          <w:tcPr>
            <w:tcW w:w="1062" w:type="dxa"/>
            <w:tcBorders>
              <w:top w:val="nil"/>
              <w:left w:val="single" w:color="000000" w:sz="8" w:space="0"/>
              <w:bottom w:val="single" w:color="000000" w:sz="8" w:space="0"/>
              <w:right w:val="single" w:color="000000" w:sz="8" w:space="0"/>
            </w:tcBorders>
            <w:noWrap w:val="0"/>
            <w:vAlign w:val="center"/>
          </w:tcPr>
          <w:p w14:paraId="1FCE30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763BC4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97A0F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AC6339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251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E6B43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0948A1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734" w:type="dxa"/>
            <w:gridSpan w:val="2"/>
            <w:tcBorders>
              <w:top w:val="nil"/>
              <w:left w:val="single" w:color="000000" w:sz="8" w:space="0"/>
              <w:bottom w:val="single" w:color="000000" w:sz="8" w:space="0"/>
              <w:right w:val="single" w:color="000000" w:sz="8" w:space="0"/>
            </w:tcBorders>
            <w:noWrap w:val="0"/>
            <w:vAlign w:val="center"/>
          </w:tcPr>
          <w:p w14:paraId="73F2C25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盘型制动</w:t>
            </w:r>
          </w:p>
        </w:tc>
        <w:tc>
          <w:tcPr>
            <w:tcW w:w="1062" w:type="dxa"/>
            <w:tcBorders>
              <w:top w:val="nil"/>
              <w:left w:val="single" w:color="000000" w:sz="8" w:space="0"/>
              <w:bottom w:val="single" w:color="000000" w:sz="8" w:space="0"/>
              <w:right w:val="single" w:color="000000" w:sz="8" w:space="0"/>
            </w:tcBorders>
            <w:noWrap w:val="0"/>
            <w:vAlign w:val="center"/>
          </w:tcPr>
          <w:p w14:paraId="2504A8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727287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CBC9C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7CB32B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9BE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FDA9C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4F4D8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734" w:type="dxa"/>
            <w:gridSpan w:val="2"/>
            <w:tcBorders>
              <w:top w:val="nil"/>
              <w:left w:val="single" w:color="000000" w:sz="8" w:space="0"/>
              <w:bottom w:val="single" w:color="000000" w:sz="8" w:space="0"/>
              <w:right w:val="single" w:color="000000" w:sz="8" w:space="0"/>
            </w:tcBorders>
            <w:noWrap w:val="0"/>
            <w:vAlign w:val="center"/>
          </w:tcPr>
          <w:p w14:paraId="69F07C3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扣减原车不修部分费用</w:t>
            </w:r>
          </w:p>
        </w:tc>
        <w:tc>
          <w:tcPr>
            <w:tcW w:w="1062" w:type="dxa"/>
            <w:tcBorders>
              <w:top w:val="nil"/>
              <w:left w:val="single" w:color="000000" w:sz="8" w:space="0"/>
              <w:bottom w:val="single" w:color="000000" w:sz="8" w:space="0"/>
              <w:right w:val="single" w:color="000000" w:sz="8" w:space="0"/>
            </w:tcBorders>
            <w:noWrap w:val="0"/>
            <w:vAlign w:val="center"/>
          </w:tcPr>
          <w:p w14:paraId="2A9FB0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A44AB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12995B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B487C0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963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25F390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7FF56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734" w:type="dxa"/>
            <w:gridSpan w:val="2"/>
            <w:tcBorders>
              <w:top w:val="nil"/>
              <w:left w:val="single" w:color="000000" w:sz="8" w:space="0"/>
              <w:bottom w:val="single" w:color="000000" w:sz="8" w:space="0"/>
              <w:right w:val="single" w:color="000000" w:sz="8" w:space="0"/>
            </w:tcBorders>
            <w:noWrap w:val="0"/>
            <w:vAlign w:val="center"/>
          </w:tcPr>
          <w:p w14:paraId="5B3EF9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单车改造费用（此报价以25G型AC380V硬座为车源进行改造报价）</w:t>
            </w:r>
          </w:p>
        </w:tc>
        <w:tc>
          <w:tcPr>
            <w:tcW w:w="1062" w:type="dxa"/>
            <w:tcBorders>
              <w:top w:val="nil"/>
              <w:left w:val="single" w:color="000000" w:sz="8" w:space="0"/>
              <w:bottom w:val="single" w:color="000000" w:sz="8" w:space="0"/>
              <w:right w:val="single" w:color="000000" w:sz="8" w:space="0"/>
            </w:tcBorders>
            <w:noWrap w:val="0"/>
            <w:vAlign w:val="center"/>
          </w:tcPr>
          <w:p w14:paraId="190862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E3BDB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09345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FEE1F3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955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6AE614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ADE04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734" w:type="dxa"/>
            <w:gridSpan w:val="2"/>
            <w:tcBorders>
              <w:top w:val="nil"/>
              <w:left w:val="single" w:color="000000" w:sz="8" w:space="0"/>
              <w:bottom w:val="single" w:color="000000" w:sz="8" w:space="0"/>
              <w:right w:val="single" w:color="000000" w:sz="8" w:space="0"/>
            </w:tcBorders>
            <w:noWrap w:val="0"/>
            <w:vAlign w:val="center"/>
          </w:tcPr>
          <w:p w14:paraId="1BA8DB6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改造材料费</w:t>
            </w:r>
          </w:p>
        </w:tc>
        <w:tc>
          <w:tcPr>
            <w:tcW w:w="1062" w:type="dxa"/>
            <w:tcBorders>
              <w:top w:val="nil"/>
              <w:left w:val="single" w:color="000000" w:sz="8" w:space="0"/>
              <w:bottom w:val="single" w:color="000000" w:sz="8" w:space="0"/>
              <w:right w:val="single" w:color="000000" w:sz="8" w:space="0"/>
            </w:tcBorders>
            <w:noWrap w:val="0"/>
            <w:vAlign w:val="center"/>
          </w:tcPr>
          <w:p w14:paraId="25BA5C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2689F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5EC04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5C7390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FD7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737FBA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6908A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w:t>
            </w:r>
          </w:p>
        </w:tc>
        <w:tc>
          <w:tcPr>
            <w:tcW w:w="2734" w:type="dxa"/>
            <w:gridSpan w:val="2"/>
            <w:tcBorders>
              <w:top w:val="nil"/>
              <w:left w:val="single" w:color="000000" w:sz="8" w:space="0"/>
              <w:bottom w:val="single" w:color="000000" w:sz="8" w:space="0"/>
              <w:right w:val="single" w:color="000000" w:sz="8" w:space="0"/>
            </w:tcBorders>
            <w:noWrap w:val="0"/>
            <w:vAlign w:val="center"/>
          </w:tcPr>
          <w:p w14:paraId="429DA14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钢结构</w:t>
            </w:r>
          </w:p>
        </w:tc>
        <w:tc>
          <w:tcPr>
            <w:tcW w:w="1062" w:type="dxa"/>
            <w:tcBorders>
              <w:top w:val="nil"/>
              <w:left w:val="single" w:color="000000" w:sz="8" w:space="0"/>
              <w:bottom w:val="single" w:color="000000" w:sz="8" w:space="0"/>
              <w:right w:val="single" w:color="000000" w:sz="8" w:space="0"/>
            </w:tcBorders>
            <w:noWrap w:val="0"/>
            <w:vAlign w:val="center"/>
          </w:tcPr>
          <w:p w14:paraId="555399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029E1B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21E428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6AAE7A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B9D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E3BC7D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6C897D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4.1.2</w:t>
            </w:r>
          </w:p>
        </w:tc>
        <w:tc>
          <w:tcPr>
            <w:tcW w:w="2734" w:type="dxa"/>
            <w:gridSpan w:val="2"/>
            <w:tcBorders>
              <w:top w:val="nil"/>
              <w:left w:val="single" w:color="000000" w:sz="8" w:space="0"/>
              <w:bottom w:val="single" w:color="000000" w:sz="8" w:space="0"/>
              <w:right w:val="single" w:color="000000" w:sz="8" w:space="0"/>
            </w:tcBorders>
            <w:noWrap w:val="0"/>
            <w:vAlign w:val="center"/>
          </w:tcPr>
          <w:p w14:paraId="7D48777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木结构</w:t>
            </w:r>
          </w:p>
        </w:tc>
        <w:tc>
          <w:tcPr>
            <w:tcW w:w="1062" w:type="dxa"/>
            <w:tcBorders>
              <w:top w:val="nil"/>
              <w:left w:val="single" w:color="000000" w:sz="8" w:space="0"/>
              <w:bottom w:val="single" w:color="000000" w:sz="8" w:space="0"/>
              <w:right w:val="single" w:color="000000" w:sz="8" w:space="0"/>
            </w:tcBorders>
            <w:noWrap w:val="0"/>
            <w:vAlign w:val="center"/>
          </w:tcPr>
          <w:p w14:paraId="5B682F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3A76A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BAD69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460316F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6224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BC340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22916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4.1.3</w:t>
            </w:r>
          </w:p>
        </w:tc>
        <w:tc>
          <w:tcPr>
            <w:tcW w:w="2734" w:type="dxa"/>
            <w:gridSpan w:val="2"/>
            <w:tcBorders>
              <w:top w:val="nil"/>
              <w:left w:val="single" w:color="000000" w:sz="8" w:space="0"/>
              <w:bottom w:val="single" w:color="000000" w:sz="8" w:space="0"/>
              <w:right w:val="single" w:color="000000" w:sz="8" w:space="0"/>
            </w:tcBorders>
            <w:noWrap w:val="0"/>
            <w:vAlign w:val="center"/>
          </w:tcPr>
          <w:p w14:paraId="3FE39C4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给水卫生</w:t>
            </w:r>
          </w:p>
        </w:tc>
        <w:tc>
          <w:tcPr>
            <w:tcW w:w="1062" w:type="dxa"/>
            <w:tcBorders>
              <w:top w:val="nil"/>
              <w:left w:val="single" w:color="000000" w:sz="8" w:space="0"/>
              <w:bottom w:val="single" w:color="000000" w:sz="8" w:space="0"/>
              <w:right w:val="single" w:color="000000" w:sz="8" w:space="0"/>
            </w:tcBorders>
            <w:noWrap w:val="0"/>
            <w:vAlign w:val="center"/>
          </w:tcPr>
          <w:p w14:paraId="2618EB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EC1C3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32B24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CB56BA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D98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FB8A2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4FFFD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4.1.4</w:t>
            </w:r>
          </w:p>
        </w:tc>
        <w:tc>
          <w:tcPr>
            <w:tcW w:w="2734" w:type="dxa"/>
            <w:gridSpan w:val="2"/>
            <w:tcBorders>
              <w:top w:val="nil"/>
              <w:left w:val="single" w:color="000000" w:sz="8" w:space="0"/>
              <w:bottom w:val="single" w:color="000000" w:sz="8" w:space="0"/>
              <w:right w:val="single" w:color="000000" w:sz="8" w:space="0"/>
            </w:tcBorders>
            <w:noWrap w:val="0"/>
            <w:vAlign w:val="center"/>
          </w:tcPr>
          <w:p w14:paraId="5158A2F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空调电暖</w:t>
            </w:r>
          </w:p>
        </w:tc>
        <w:tc>
          <w:tcPr>
            <w:tcW w:w="1062" w:type="dxa"/>
            <w:tcBorders>
              <w:top w:val="nil"/>
              <w:left w:val="single" w:color="000000" w:sz="8" w:space="0"/>
              <w:bottom w:val="single" w:color="000000" w:sz="8" w:space="0"/>
              <w:right w:val="single" w:color="000000" w:sz="8" w:space="0"/>
            </w:tcBorders>
            <w:noWrap w:val="0"/>
            <w:vAlign w:val="center"/>
          </w:tcPr>
          <w:p w14:paraId="492C9C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19B456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17755D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3BDC651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762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7AD2E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0AFC8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4.1.5</w:t>
            </w:r>
          </w:p>
        </w:tc>
        <w:tc>
          <w:tcPr>
            <w:tcW w:w="2734" w:type="dxa"/>
            <w:gridSpan w:val="2"/>
            <w:tcBorders>
              <w:top w:val="nil"/>
              <w:left w:val="single" w:color="000000" w:sz="8" w:space="0"/>
              <w:bottom w:val="single" w:color="000000" w:sz="8" w:space="0"/>
              <w:right w:val="single" w:color="000000" w:sz="8" w:space="0"/>
            </w:tcBorders>
            <w:noWrap w:val="0"/>
            <w:vAlign w:val="center"/>
          </w:tcPr>
          <w:p w14:paraId="793E42D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车电系统</w:t>
            </w:r>
          </w:p>
        </w:tc>
        <w:tc>
          <w:tcPr>
            <w:tcW w:w="1062" w:type="dxa"/>
            <w:tcBorders>
              <w:top w:val="nil"/>
              <w:left w:val="single" w:color="000000" w:sz="8" w:space="0"/>
              <w:bottom w:val="single" w:color="000000" w:sz="8" w:space="0"/>
              <w:right w:val="single" w:color="000000" w:sz="8" w:space="0"/>
            </w:tcBorders>
            <w:noWrap w:val="0"/>
            <w:vAlign w:val="center"/>
          </w:tcPr>
          <w:p w14:paraId="7715E3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4BDB9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3FF9E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994B75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036B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62E92F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21625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4.1.6</w:t>
            </w:r>
          </w:p>
        </w:tc>
        <w:tc>
          <w:tcPr>
            <w:tcW w:w="2734" w:type="dxa"/>
            <w:gridSpan w:val="2"/>
            <w:tcBorders>
              <w:top w:val="nil"/>
              <w:left w:val="single" w:color="000000" w:sz="8" w:space="0"/>
              <w:bottom w:val="single" w:color="000000" w:sz="8" w:space="0"/>
              <w:right w:val="single" w:color="000000" w:sz="8" w:space="0"/>
            </w:tcBorders>
            <w:noWrap w:val="0"/>
            <w:vAlign w:val="center"/>
          </w:tcPr>
          <w:p w14:paraId="2B09366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w:t>
            </w:r>
          </w:p>
        </w:tc>
        <w:tc>
          <w:tcPr>
            <w:tcW w:w="1062" w:type="dxa"/>
            <w:tcBorders>
              <w:top w:val="nil"/>
              <w:left w:val="single" w:color="000000" w:sz="8" w:space="0"/>
              <w:bottom w:val="single" w:color="000000" w:sz="8" w:space="0"/>
              <w:right w:val="single" w:color="000000" w:sz="8" w:space="0"/>
            </w:tcBorders>
            <w:noWrap w:val="0"/>
            <w:vAlign w:val="center"/>
          </w:tcPr>
          <w:p w14:paraId="69A5DE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14C93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190C1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508E3F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AB3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742FC9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5D843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4.1.7</w:t>
            </w:r>
          </w:p>
        </w:tc>
        <w:tc>
          <w:tcPr>
            <w:tcW w:w="2734" w:type="dxa"/>
            <w:gridSpan w:val="2"/>
            <w:tcBorders>
              <w:top w:val="nil"/>
              <w:left w:val="single" w:color="000000" w:sz="8" w:space="0"/>
              <w:bottom w:val="single" w:color="000000" w:sz="8" w:space="0"/>
              <w:right w:val="single" w:color="000000" w:sz="8" w:space="0"/>
            </w:tcBorders>
            <w:noWrap w:val="0"/>
            <w:vAlign w:val="center"/>
          </w:tcPr>
          <w:p w14:paraId="46578F2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制动系统</w:t>
            </w:r>
          </w:p>
        </w:tc>
        <w:tc>
          <w:tcPr>
            <w:tcW w:w="1062" w:type="dxa"/>
            <w:tcBorders>
              <w:top w:val="nil"/>
              <w:left w:val="single" w:color="000000" w:sz="8" w:space="0"/>
              <w:bottom w:val="single" w:color="000000" w:sz="8" w:space="0"/>
              <w:right w:val="single" w:color="000000" w:sz="8" w:space="0"/>
            </w:tcBorders>
            <w:noWrap w:val="0"/>
            <w:vAlign w:val="center"/>
          </w:tcPr>
          <w:p w14:paraId="22587F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1DE16E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D50EC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4752FC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64E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6AEB68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6EEBBB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4.1.8</w:t>
            </w:r>
          </w:p>
        </w:tc>
        <w:tc>
          <w:tcPr>
            <w:tcW w:w="2734" w:type="dxa"/>
            <w:gridSpan w:val="2"/>
            <w:tcBorders>
              <w:top w:val="nil"/>
              <w:left w:val="single" w:color="000000" w:sz="8" w:space="0"/>
              <w:bottom w:val="single" w:color="000000" w:sz="8" w:space="0"/>
              <w:right w:val="single" w:color="000000" w:sz="8" w:space="0"/>
            </w:tcBorders>
            <w:noWrap w:val="0"/>
            <w:vAlign w:val="center"/>
          </w:tcPr>
          <w:p w14:paraId="5613CC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外皮油漆及贴膜（含机车、发电车）</w:t>
            </w:r>
          </w:p>
        </w:tc>
        <w:tc>
          <w:tcPr>
            <w:tcW w:w="1062" w:type="dxa"/>
            <w:tcBorders>
              <w:top w:val="nil"/>
              <w:left w:val="single" w:color="000000" w:sz="8" w:space="0"/>
              <w:bottom w:val="single" w:color="000000" w:sz="8" w:space="0"/>
              <w:right w:val="single" w:color="000000" w:sz="8" w:space="0"/>
            </w:tcBorders>
            <w:noWrap w:val="0"/>
            <w:vAlign w:val="center"/>
          </w:tcPr>
          <w:p w14:paraId="5BB202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B4C7A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CF57E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3ADF04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12C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6C130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0E3F92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4.1.9</w:t>
            </w:r>
          </w:p>
        </w:tc>
        <w:tc>
          <w:tcPr>
            <w:tcW w:w="2734" w:type="dxa"/>
            <w:gridSpan w:val="2"/>
            <w:tcBorders>
              <w:top w:val="nil"/>
              <w:left w:val="single" w:color="000000" w:sz="8" w:space="0"/>
              <w:bottom w:val="single" w:color="000000" w:sz="8" w:space="0"/>
              <w:right w:val="single" w:color="000000" w:sz="8" w:space="0"/>
            </w:tcBorders>
            <w:noWrap w:val="0"/>
            <w:vAlign w:val="center"/>
          </w:tcPr>
          <w:p w14:paraId="311D2D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内装饰（含车内顶板、侧墙板、间壁板、地板、座椅（全列约300个座椅席位）及设备等）</w:t>
            </w:r>
          </w:p>
        </w:tc>
        <w:tc>
          <w:tcPr>
            <w:tcW w:w="1062" w:type="dxa"/>
            <w:tcBorders>
              <w:top w:val="nil"/>
              <w:left w:val="single" w:color="000000" w:sz="8" w:space="0"/>
              <w:bottom w:val="single" w:color="000000" w:sz="8" w:space="0"/>
              <w:right w:val="single" w:color="000000" w:sz="8" w:space="0"/>
            </w:tcBorders>
            <w:noWrap w:val="0"/>
            <w:vAlign w:val="center"/>
          </w:tcPr>
          <w:p w14:paraId="711B83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008C8A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E5053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46ADF7E">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427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F27D69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57992A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4.1.10</w:t>
            </w:r>
          </w:p>
        </w:tc>
        <w:tc>
          <w:tcPr>
            <w:tcW w:w="2734" w:type="dxa"/>
            <w:gridSpan w:val="2"/>
            <w:tcBorders>
              <w:top w:val="nil"/>
              <w:left w:val="single" w:color="000000" w:sz="8" w:space="0"/>
              <w:bottom w:val="single" w:color="000000" w:sz="8" w:space="0"/>
              <w:right w:val="single" w:color="000000" w:sz="8" w:space="0"/>
            </w:tcBorders>
            <w:noWrap w:val="0"/>
            <w:vAlign w:val="center"/>
          </w:tcPr>
          <w:p w14:paraId="5F8172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备品（车辆改造易损易耗件）</w:t>
            </w:r>
          </w:p>
        </w:tc>
        <w:tc>
          <w:tcPr>
            <w:tcW w:w="1062" w:type="dxa"/>
            <w:tcBorders>
              <w:top w:val="nil"/>
              <w:left w:val="single" w:color="000000" w:sz="8" w:space="0"/>
              <w:bottom w:val="single" w:color="000000" w:sz="8" w:space="0"/>
              <w:right w:val="single" w:color="000000" w:sz="8" w:space="0"/>
            </w:tcBorders>
            <w:noWrap w:val="0"/>
            <w:vAlign w:val="center"/>
          </w:tcPr>
          <w:p w14:paraId="50A7C2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3F9DD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EC35E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F72011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4C9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CDEAE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7C4E64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4.1.11</w:t>
            </w:r>
          </w:p>
        </w:tc>
        <w:tc>
          <w:tcPr>
            <w:tcW w:w="2734" w:type="dxa"/>
            <w:gridSpan w:val="2"/>
            <w:tcBorders>
              <w:top w:val="nil"/>
              <w:left w:val="single" w:color="000000" w:sz="8" w:space="0"/>
              <w:bottom w:val="single" w:color="000000" w:sz="8" w:space="0"/>
              <w:right w:val="single" w:color="000000" w:sz="8" w:space="0"/>
            </w:tcBorders>
            <w:noWrap w:val="0"/>
            <w:vAlign w:val="center"/>
          </w:tcPr>
          <w:p w14:paraId="678F0BE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消耗材料及防护</w:t>
            </w:r>
          </w:p>
        </w:tc>
        <w:tc>
          <w:tcPr>
            <w:tcW w:w="1062" w:type="dxa"/>
            <w:tcBorders>
              <w:top w:val="nil"/>
              <w:left w:val="single" w:color="000000" w:sz="8" w:space="0"/>
              <w:bottom w:val="single" w:color="000000" w:sz="8" w:space="0"/>
              <w:right w:val="single" w:color="000000" w:sz="8" w:space="0"/>
            </w:tcBorders>
            <w:noWrap w:val="0"/>
            <w:vAlign w:val="center"/>
          </w:tcPr>
          <w:p w14:paraId="45F10A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09DB95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61171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52D696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915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D18C18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4DEB66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4.1.12</w:t>
            </w:r>
          </w:p>
        </w:tc>
        <w:tc>
          <w:tcPr>
            <w:tcW w:w="2734" w:type="dxa"/>
            <w:gridSpan w:val="2"/>
            <w:tcBorders>
              <w:top w:val="nil"/>
              <w:left w:val="single" w:color="000000" w:sz="8" w:space="0"/>
              <w:bottom w:val="single" w:color="000000" w:sz="8" w:space="0"/>
              <w:right w:val="single" w:color="000000" w:sz="8" w:space="0"/>
            </w:tcBorders>
            <w:noWrap w:val="0"/>
            <w:vAlign w:val="center"/>
          </w:tcPr>
          <w:p w14:paraId="6E2EE6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智能商显（</w:t>
            </w:r>
            <w:r>
              <w:rPr>
                <w:rFonts w:hint="eastAsia" w:ascii="宋体" w:hAnsi="宋体" w:cs="宋体"/>
                <w:i w:val="0"/>
                <w:iCs w:val="0"/>
                <w:color w:val="auto"/>
                <w:kern w:val="0"/>
                <w:sz w:val="24"/>
                <w:szCs w:val="24"/>
                <w:highlight w:val="none"/>
                <w:u w:val="none"/>
                <w:lang w:val="en-US" w:eastAsia="zh-CN" w:bidi="ar"/>
              </w:rPr>
              <w:t>结合运营需求，在车厢不同位置设计屏幕，满足展示、互动等需求</w:t>
            </w:r>
            <w:r>
              <w:rPr>
                <w:rFonts w:hint="eastAsia" w:ascii="宋体" w:hAnsi="宋体" w:eastAsia="宋体" w:cs="宋体"/>
                <w:i w:val="0"/>
                <w:iCs w:val="0"/>
                <w:color w:val="auto"/>
                <w:kern w:val="0"/>
                <w:sz w:val="24"/>
                <w:szCs w:val="24"/>
                <w:highlight w:val="none"/>
                <w:u w:val="none"/>
                <w:lang w:val="en-US" w:eastAsia="zh-CN" w:bidi="ar"/>
              </w:rPr>
              <w:t>）</w:t>
            </w:r>
          </w:p>
        </w:tc>
        <w:tc>
          <w:tcPr>
            <w:tcW w:w="1062" w:type="dxa"/>
            <w:tcBorders>
              <w:top w:val="nil"/>
              <w:left w:val="single" w:color="000000" w:sz="8" w:space="0"/>
              <w:bottom w:val="single" w:color="000000" w:sz="8" w:space="0"/>
              <w:right w:val="single" w:color="000000" w:sz="8" w:space="0"/>
            </w:tcBorders>
            <w:noWrap w:val="0"/>
            <w:vAlign w:val="center"/>
          </w:tcPr>
          <w:p w14:paraId="1D6F61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6F174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514C3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81618B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CF5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57B1FF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2096E3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734" w:type="dxa"/>
            <w:gridSpan w:val="2"/>
            <w:tcBorders>
              <w:top w:val="nil"/>
              <w:left w:val="single" w:color="000000" w:sz="8" w:space="0"/>
              <w:bottom w:val="single" w:color="000000" w:sz="8" w:space="0"/>
              <w:right w:val="single" w:color="000000" w:sz="8" w:space="0"/>
            </w:tcBorders>
            <w:noWrap w:val="0"/>
            <w:vAlign w:val="center"/>
          </w:tcPr>
          <w:p w14:paraId="487F3E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制造费</w:t>
            </w:r>
          </w:p>
        </w:tc>
        <w:tc>
          <w:tcPr>
            <w:tcW w:w="1062" w:type="dxa"/>
            <w:tcBorders>
              <w:top w:val="nil"/>
              <w:left w:val="single" w:color="000000" w:sz="8" w:space="0"/>
              <w:bottom w:val="single" w:color="000000" w:sz="8" w:space="0"/>
              <w:right w:val="single" w:color="000000" w:sz="8" w:space="0"/>
            </w:tcBorders>
            <w:noWrap w:val="0"/>
            <w:vAlign w:val="center"/>
          </w:tcPr>
          <w:p w14:paraId="5B431A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1EF036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AB670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68A2B7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930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85A826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201" w:type="dxa"/>
            <w:tcBorders>
              <w:top w:val="nil"/>
              <w:left w:val="single" w:color="000000" w:sz="8" w:space="0"/>
              <w:bottom w:val="single" w:color="000000" w:sz="8" w:space="0"/>
              <w:right w:val="single" w:color="000000" w:sz="8" w:space="0"/>
            </w:tcBorders>
            <w:noWrap w:val="0"/>
            <w:vAlign w:val="center"/>
          </w:tcPr>
          <w:p w14:paraId="03BF2E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734" w:type="dxa"/>
            <w:gridSpan w:val="2"/>
            <w:tcBorders>
              <w:top w:val="nil"/>
              <w:left w:val="single" w:color="000000" w:sz="8" w:space="0"/>
              <w:bottom w:val="single" w:color="000000" w:sz="8" w:space="0"/>
              <w:right w:val="single" w:color="000000" w:sz="8" w:space="0"/>
            </w:tcBorders>
            <w:noWrap w:val="0"/>
            <w:vAlign w:val="center"/>
          </w:tcPr>
          <w:p w14:paraId="656858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期间费</w:t>
            </w:r>
          </w:p>
        </w:tc>
        <w:tc>
          <w:tcPr>
            <w:tcW w:w="1062" w:type="dxa"/>
            <w:tcBorders>
              <w:top w:val="nil"/>
              <w:left w:val="single" w:color="000000" w:sz="8" w:space="0"/>
              <w:bottom w:val="single" w:color="000000" w:sz="8" w:space="0"/>
              <w:right w:val="single" w:color="000000" w:sz="8" w:space="0"/>
            </w:tcBorders>
            <w:noWrap w:val="0"/>
            <w:vAlign w:val="center"/>
          </w:tcPr>
          <w:p w14:paraId="51FFA0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4A064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14302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FB1884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76A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1436" w:type="dxa"/>
            <w:tcBorders>
              <w:top w:val="nil"/>
              <w:left w:val="single" w:color="000000" w:sz="8" w:space="0"/>
              <w:bottom w:val="single" w:color="000000" w:sz="8" w:space="0"/>
              <w:right w:val="single" w:color="000000" w:sz="8" w:space="0"/>
            </w:tcBorders>
            <w:noWrap w:val="0"/>
            <w:vAlign w:val="center"/>
          </w:tcPr>
          <w:p w14:paraId="3F4E5A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计算试验费用</w:t>
            </w:r>
          </w:p>
        </w:tc>
        <w:tc>
          <w:tcPr>
            <w:tcW w:w="2510" w:type="dxa"/>
            <w:gridSpan w:val="2"/>
            <w:tcBorders>
              <w:top w:val="nil"/>
              <w:left w:val="single" w:color="000000" w:sz="8" w:space="0"/>
              <w:bottom w:val="single" w:color="000000" w:sz="8" w:space="0"/>
              <w:right w:val="single" w:color="000000" w:sz="8" w:space="0"/>
            </w:tcBorders>
            <w:noWrap w:val="0"/>
            <w:vAlign w:val="center"/>
          </w:tcPr>
          <w:p w14:paraId="4DD3C2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计算、试验等一次性费用（含税）</w:t>
            </w:r>
          </w:p>
        </w:tc>
        <w:tc>
          <w:tcPr>
            <w:tcW w:w="1425" w:type="dxa"/>
            <w:tcBorders>
              <w:top w:val="nil"/>
              <w:left w:val="single" w:color="000000" w:sz="8" w:space="0"/>
              <w:bottom w:val="single" w:color="000000" w:sz="8" w:space="0"/>
              <w:right w:val="single" w:color="000000" w:sz="8" w:space="0"/>
            </w:tcBorders>
            <w:noWrap w:val="0"/>
            <w:vAlign w:val="center"/>
          </w:tcPr>
          <w:p w14:paraId="31EB66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动力学，车体强度（含模态）试验，电气负荷，空调采暖能力，制动性能，供水供风集污能力计算等</w:t>
            </w:r>
          </w:p>
        </w:tc>
        <w:tc>
          <w:tcPr>
            <w:tcW w:w="1062" w:type="dxa"/>
            <w:tcBorders>
              <w:top w:val="nil"/>
              <w:left w:val="single" w:color="000000" w:sz="8" w:space="0"/>
              <w:bottom w:val="single" w:color="000000" w:sz="8" w:space="0"/>
              <w:right w:val="single" w:color="000000" w:sz="8" w:space="0"/>
            </w:tcBorders>
            <w:noWrap w:val="0"/>
            <w:vAlign w:val="center"/>
          </w:tcPr>
          <w:p w14:paraId="116A63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E2EB7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2B3007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920A7B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FE9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436" w:type="dxa"/>
            <w:tcBorders>
              <w:top w:val="nil"/>
              <w:left w:val="single" w:color="000000" w:sz="8" w:space="0"/>
              <w:bottom w:val="single" w:color="000000" w:sz="8" w:space="0"/>
              <w:right w:val="single" w:color="000000" w:sz="8" w:space="0"/>
            </w:tcBorders>
            <w:noWrap w:val="0"/>
            <w:vAlign w:val="center"/>
          </w:tcPr>
          <w:p w14:paraId="259D50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项目总费用</w:t>
            </w:r>
          </w:p>
          <w:p w14:paraId="4B60E003">
            <w:pPr>
              <w:pStyle w:val="2"/>
              <w:keepNext w:val="0"/>
              <w:keepLines w:val="0"/>
              <w:pageBreakBefore w:val="0"/>
              <w:tabs>
                <w:tab w:val="right" w:leader="dot" w:pos="8918"/>
                <w:tab w:val="clear" w:pos="735"/>
                <w:tab w:val="clear" w:pos="953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（含税）</w:t>
            </w:r>
          </w:p>
        </w:tc>
        <w:tc>
          <w:tcPr>
            <w:tcW w:w="8321" w:type="dxa"/>
            <w:gridSpan w:val="7"/>
            <w:tcBorders>
              <w:top w:val="nil"/>
              <w:left w:val="single" w:color="000000" w:sz="8" w:space="0"/>
              <w:bottom w:val="single" w:color="000000" w:sz="8" w:space="0"/>
              <w:right w:val="single" w:color="000000" w:sz="8" w:space="0"/>
            </w:tcBorders>
            <w:noWrap w:val="0"/>
            <w:vAlign w:val="center"/>
          </w:tcPr>
          <w:p w14:paraId="08031E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总计：       元</w:t>
            </w:r>
          </w:p>
        </w:tc>
      </w:tr>
    </w:tbl>
    <w:p w14:paraId="69FAFB85">
      <w:pPr>
        <w:pStyle w:val="15"/>
        <w:keepNext w:val="0"/>
        <w:keepLines w:val="0"/>
        <w:pageBreakBefore w:val="0"/>
        <w:widowControl w:val="0"/>
        <w:kinsoku/>
        <w:wordWrap/>
        <w:topLinePunct w:val="0"/>
        <w:bidi w:val="0"/>
        <w:snapToGrid/>
        <w:spacing w:line="400" w:lineRule="exact"/>
        <w:ind w:firstLine="0"/>
        <w:outlineLvl w:val="1"/>
        <w:rPr>
          <w:rFonts w:hint="eastAsia"/>
        </w:rPr>
      </w:pPr>
      <w:r>
        <w:rPr>
          <w:rFonts w:hint="eastAsia" w:asciiTheme="minorEastAsia" w:hAnsiTheme="minorEastAsia" w:eastAsiaTheme="minorEastAsia" w:cstheme="minorEastAsia"/>
          <w:b/>
          <w:color w:val="auto"/>
          <w:szCs w:val="24"/>
          <w:highlight w:val="none"/>
        </w:rPr>
        <w:t>二、技术和服务要求</w:t>
      </w:r>
      <w:bookmarkEnd w:id="18"/>
      <w:bookmarkStart w:id="19" w:name="_Toc14689"/>
    </w:p>
    <w:p w14:paraId="4C658C5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基本要求</w:t>
      </w:r>
    </w:p>
    <w:p w14:paraId="73426DE2">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ascii="宋体" w:hAnsi="宋体" w:eastAsia="宋体" w:cs="宋体"/>
          <w:sz w:val="24"/>
          <w:szCs w:val="24"/>
        </w:rPr>
      </w:pPr>
      <w:r>
        <w:rPr>
          <w:rFonts w:ascii="宋体" w:hAnsi="宋体" w:eastAsia="宋体" w:cs="宋体"/>
          <w:sz w:val="24"/>
          <w:szCs w:val="24"/>
        </w:rPr>
        <w:t>车辆通用设施参照GB/T 12817-2021《铁路客车通用技术条件》进行优化设置，改造所采用的非铁路客车产品符合其相关国家或行业标准，改造后的车辆能体现低碳、数字化概念与功能。</w:t>
      </w:r>
    </w:p>
    <w:p w14:paraId="6D8152A5">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安全可靠性</w:t>
      </w:r>
    </w:p>
    <w:p w14:paraId="24617373">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电力、控制、信息传输线路等具有足够冗余。</w:t>
      </w:r>
    </w:p>
    <w:p w14:paraId="3FFDB8E7">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各种接插件具有良好的定位结构，具有防插错措施。</w:t>
      </w:r>
    </w:p>
    <w:p w14:paraId="728AF80E">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保证电路中出现故障不造成运行危险或对旅客和乘务员造成危害。危害正常运行的故障可立即识别，并导向安全。</w:t>
      </w:r>
    </w:p>
    <w:p w14:paraId="70292E53">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保证紧急故障时有相应的应急功能，如应急照明、通风及应急出口等。</w:t>
      </w:r>
    </w:p>
    <w:p w14:paraId="04F46640">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防火措施</w:t>
      </w:r>
    </w:p>
    <w:p w14:paraId="692E0363">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车辆所采用材料选用阻燃、低烟、无毒（低毒）、无卤的非延燃性材料或防火材料。改造所采用的铁路客车非金属材料应符合 Q/CR 699-2019《铁路客车非金属材料阻燃技术条件》或 EN 45545-2:2020+A1:2023《铁路设施-铁路车辆防火 第 2部分：材料和部件的防火性能要求》要求。</w:t>
      </w:r>
    </w:p>
    <w:p w14:paraId="4AC2CCB4">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客车设符合中国标准的适用于电气装置和油类灭火的干粉灭火器和水型灭火器。</w:t>
      </w:r>
    </w:p>
    <w:p w14:paraId="4C6C692B">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车体与车外相通孔路的火险隐患整治措施符合《铁道部运输局&lt;关于印发客车防火安全整治方案及相关规定的通知&gt;》（运装客车函〔2011〕285 号）、《中国铁路总公司&lt;关于实施客车通过及小走廊区域防火改造的通知&gt;》（铁总运函〔2014〕1267号）、原中国铁路总公司运输局关于印发《&lt;客车防火改造技术方案&gt;补充方案的通知》（运辆客车函〔2017〕22 号）的相关规定。</w:t>
      </w:r>
    </w:p>
    <w:p w14:paraId="406E28A9">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各车设火灾报警系统，在</w:t>
      </w:r>
      <w:r>
        <w:rPr>
          <w:rFonts w:hint="eastAsia" w:ascii="宋体" w:hAnsi="宋体" w:cs="宋体"/>
          <w:sz w:val="24"/>
          <w:szCs w:val="24"/>
          <w:lang w:val="en-US" w:eastAsia="zh-CN"/>
        </w:rPr>
        <w:t>综合</w:t>
      </w:r>
      <w:r>
        <w:rPr>
          <w:rFonts w:hint="eastAsia" w:ascii="宋体" w:hAnsi="宋体" w:eastAsia="宋体" w:cs="宋体"/>
          <w:sz w:val="24"/>
          <w:szCs w:val="24"/>
        </w:rPr>
        <w:t>控制柜和客室区域设火灾报警探测器。</w:t>
      </w:r>
    </w:p>
    <w:p w14:paraId="42BD7A82">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噪声要求</w:t>
      </w:r>
    </w:p>
    <w:p w14:paraId="4ED91435">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客室内噪声(120km/h 时)：</w:t>
      </w:r>
      <w:r>
        <w:rPr>
          <w:rFonts w:hint="eastAsia" w:ascii="宋体" w:hAnsi="宋体" w:eastAsia="宋体" w:cs="宋体"/>
          <w:sz w:val="24"/>
          <w:szCs w:val="24"/>
          <w:highlight w:val="none"/>
          <w:lang w:val="en-US" w:eastAsia="zh-CN"/>
        </w:rPr>
        <w:t>座席</w:t>
      </w:r>
      <w:r>
        <w:rPr>
          <w:rFonts w:hint="eastAsia" w:ascii="宋体" w:hAnsi="宋体" w:eastAsia="宋体" w:cs="宋体"/>
          <w:sz w:val="24"/>
          <w:szCs w:val="24"/>
          <w:highlight w:val="none"/>
        </w:rPr>
        <w:t>车≤6</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dB(A)，多功能车≤68dB(A)。</w:t>
      </w:r>
    </w:p>
    <w:p w14:paraId="0E3D301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供电方式</w:t>
      </w:r>
    </w:p>
    <w:p w14:paraId="47BD61F7">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列车采用 AC380V 集中供电，机车、发电车和外接电源三种供电方式。</w:t>
      </w:r>
    </w:p>
    <w:p w14:paraId="374A3A3E">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库内检修时使用 AC380V 50Hz 三相四线制地面电源供电。 </w:t>
      </w:r>
    </w:p>
    <w:p w14:paraId="03F28F6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电磁兼容</w:t>
      </w:r>
    </w:p>
    <w:p w14:paraId="5458EA5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改造或更新的铁路客车电气设备件的电磁兼容性符合GB/T 24338.4-2018《轨道交通电磁兼容 第 3-2 部分：机车车辆设备》的相关规定。</w:t>
      </w:r>
    </w:p>
    <w:p w14:paraId="6A6DAB4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供水排污要求</w:t>
      </w:r>
    </w:p>
    <w:p w14:paraId="6543105D">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车辆上水嘴型式符合TB/T 1720-2017《铁道客车及动车组给水装置》要求。</w:t>
      </w:r>
    </w:p>
    <w:p w14:paraId="0EA53BF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客车污物采取定点集中排放，污物箱满足车辆正常运行40h的污物容积需求。吸污通用 2.5″排污接头和 1″冲水接头符合TB/T 3338.2-2023《铁路客车及动车组卫生间第 2 部分：集便装置》要求。</w:t>
      </w:r>
    </w:p>
    <w:p w14:paraId="69D3DA94">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环境保护</w:t>
      </w:r>
    </w:p>
    <w:p w14:paraId="4535F664">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组装后车辆的有害物质限量符合TB/T 3139-2021《机车车辆非金属材料及室内空气有害物质限量》要求。</w:t>
      </w:r>
    </w:p>
    <w:p w14:paraId="499C0327">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车辆密封要求</w:t>
      </w:r>
    </w:p>
    <w:p w14:paraId="30B2C4FB">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车辆整车落成后密封性能符合TB/T 1802-2016《铁道车辆水密性试验方法》要求。</w:t>
      </w:r>
    </w:p>
    <w:p w14:paraId="6E726ECB">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车辆孔洞封堵符合《铁路客车布线隐蔽工程标识及新造客车车下孔洞封堵优化设计方案》（机辆动客函〔2020〕16 号）文件要求。</w:t>
      </w:r>
    </w:p>
    <w:p w14:paraId="483CAA9F">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美工方案</w:t>
      </w:r>
    </w:p>
    <w:p w14:paraId="0C067B77">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防腐涂装工艺符合《中国铁路总公司运输局关于印发&lt;25 型客车防腐涂装工艺规范&gt;和&lt;25 型客车用涂料技术条件&gt;的通知》（运辆客车函〔2015〕73 号）要求，涂料符合Q/CR 581.1-2025《铁路客车用涂料及涂装第1部分：涂料及涂层体系》。</w:t>
      </w:r>
    </w:p>
    <w:p w14:paraId="32538DC0">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车辆外皮油漆美工参照 TG/CL 207-2022《铁路客车厂修规程》、《中国铁路总公司运输局关于客车外皮油漆美工方案及有关要求的通知》（运辆客车函〔2014〕473 号）部分要求执行，按照体现旅游列车主题重新设计，具体按照双方商定的美工方案执行。</w:t>
      </w:r>
    </w:p>
    <w:p w14:paraId="26C61A96">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车辆内部美工按照体现旅游列车主题重新设计。</w:t>
      </w:r>
    </w:p>
    <w:p w14:paraId="6B13198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车内专用标识文字图案参照 Q/CR 577.1-2021《铁路旅客列车服务标识第 1 部分：总则》要求执行，其他服务标识进行个性化设计。</w:t>
      </w:r>
    </w:p>
    <w:p w14:paraId="19B19CC9">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车体强度</w:t>
      </w:r>
    </w:p>
    <w:p w14:paraId="3233E8A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改造后的车辆强度参照 TB/T 3550.1-2019《机车车辆强度设计及试验鉴定规范车体 第1部分：客车车体》要求执行。</w:t>
      </w:r>
    </w:p>
    <w:p w14:paraId="46D2C51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车辆限界</w:t>
      </w:r>
    </w:p>
    <w:p w14:paraId="1523C8B9">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改造后车辆限界符合GB 146.1-2020《标准轨距铁路限界第 1 部分:机车车辆限界》要求。</w:t>
      </w:r>
    </w:p>
    <w:p w14:paraId="2D25DCA7">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外部标记</w:t>
      </w:r>
    </w:p>
    <w:p w14:paraId="616EB346">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车外标记原则上按检修要求进行涂打，符合Q/CR 56-2014《铁道车辆标记 一般规则》相关要求。车号、车型、车种、自重等车外标记按改造后车辆信息涂打，速度标记按 120km/h 涂打。</w:t>
      </w:r>
    </w:p>
    <w:p w14:paraId="32D07238">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照度要求</w:t>
      </w:r>
    </w:p>
    <w:p w14:paraId="4FC7675E">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车内各区域平均照度参照 TB/T 2917.1-2019《铁路客车及动车组照明第 1 部分：通用要求》的规定，其中：</w:t>
      </w:r>
    </w:p>
    <w:p w14:paraId="1F00C720">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通道</w:t>
      </w:r>
      <w:r>
        <w:rPr>
          <w:rFonts w:hint="eastAsia" w:ascii="宋体" w:hAnsi="宋体" w:eastAsia="宋体" w:cs="宋体"/>
          <w:sz w:val="24"/>
          <w:szCs w:val="24"/>
        </w:rPr>
        <w:t xml:space="preserve"> ≥75lx；</w:t>
      </w:r>
    </w:p>
    <w:p w14:paraId="12FBDFE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（2）公共卫生间及洗脸间≥75lx；</w:t>
      </w:r>
    </w:p>
    <w:p w14:paraId="648691E4">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（3）脚蹬、风挡渡板≥15lx；</w:t>
      </w:r>
    </w:p>
    <w:p w14:paraId="3744CA25">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（4）其余区域的照度要求供需双方协商确定。</w:t>
      </w:r>
    </w:p>
    <w:p w14:paraId="7EEB2091">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车内应急照明符合TB/T 2917.1-2019《铁路客车及动车组照明 第1部分：通用要求》要求。</w:t>
      </w:r>
    </w:p>
    <w:p w14:paraId="3214B586">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适老化通用要求</w:t>
      </w:r>
    </w:p>
    <w:p w14:paraId="28B09408">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（1）车内门槛高于地面 30mm 时，设坡面调节，门槛表面颜色鲜艳、突出，涉水区域采用防滑措施。</w:t>
      </w:r>
    </w:p>
    <w:p w14:paraId="148A9740">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（2）车内标识采用图像及文字结</w:t>
      </w:r>
      <w:r>
        <w:rPr>
          <w:rFonts w:hint="eastAsia" w:ascii="宋体" w:hAnsi="宋体" w:cs="宋体"/>
          <w:sz w:val="24"/>
          <w:szCs w:val="24"/>
          <w:lang w:val="en-US" w:eastAsia="zh-CN"/>
        </w:rPr>
        <w:t>合</w:t>
      </w:r>
      <w:r>
        <w:rPr>
          <w:rFonts w:hint="eastAsia" w:ascii="宋体" w:hAnsi="宋体" w:eastAsia="宋体" w:cs="宋体"/>
          <w:sz w:val="24"/>
          <w:szCs w:val="24"/>
        </w:rPr>
        <w:t>，易于识别，适当位置设警示标识。</w:t>
      </w:r>
    </w:p>
    <w:p w14:paraId="1789B9D5">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（3）车内可触及区域产品采用倒角等处理；柜门、抽屉等抽拉构件设阻尼器；桌椅等移动设施，采取防倾覆措施。</w:t>
      </w:r>
    </w:p>
    <w:p w14:paraId="137801E0">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（4）车内扶手内侧与墙面距离≮40mm，有效长度≮200mm，末端向墙面延伸，距离墙板间隙≯10mm。</w:t>
      </w:r>
    </w:p>
    <w:p w14:paraId="2BA38BE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0"/>
        <w:rPr>
          <w:rFonts w:hint="eastAsia" w:ascii="宋体" w:hAnsi="宋体" w:eastAsia="宋体" w:cs="宋体"/>
          <w:sz w:val="24"/>
          <w:szCs w:val="24"/>
        </w:rPr>
      </w:pPr>
      <w:bookmarkStart w:id="20" w:name="_Toc197529115"/>
      <w:r>
        <w:rPr>
          <w:rFonts w:hint="eastAsia" w:ascii="宋体" w:hAnsi="宋体" w:eastAsia="宋体" w:cs="宋体"/>
          <w:sz w:val="24"/>
          <w:szCs w:val="24"/>
        </w:rPr>
        <w:t>附：运用条件及主要技术参数</w:t>
      </w:r>
      <w:bookmarkEnd w:id="20"/>
    </w:p>
    <w:p w14:paraId="053B9D88">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1.环境条件</w:t>
      </w:r>
    </w:p>
    <w:p w14:paraId="415386A2">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 xml:space="preserve">环境温度：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0℃～＋40℃；</w:t>
      </w:r>
    </w:p>
    <w:p w14:paraId="5AB0673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最大相对湿度：     ≤95%（该月月平均最低温度为25℃）；</w:t>
      </w:r>
    </w:p>
    <w:p w14:paraId="401B5F23">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海拔高度 ：        ≤2500m；</w:t>
      </w:r>
    </w:p>
    <w:p w14:paraId="0D71FD9A">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2.线路条件</w:t>
      </w:r>
    </w:p>
    <w:p w14:paraId="0303AC79">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既有国铁准轨线路；</w:t>
      </w:r>
    </w:p>
    <w:p w14:paraId="06A1FF48">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轨底坡：             1/40；</w:t>
      </w:r>
    </w:p>
    <w:p w14:paraId="2BBCAFD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线路最大坡度：       ≤30‰；</w:t>
      </w:r>
    </w:p>
    <w:p w14:paraId="63ECF729">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建筑限界：           GB 146.2-2020标准轨距铁路限界第2部分：建筑限界；</w:t>
      </w:r>
    </w:p>
    <w:p w14:paraId="300BE512">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轨距：               1435mm；</w:t>
      </w:r>
    </w:p>
    <w:p w14:paraId="4E7F37EA">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最高运行速度：       120km/h；</w:t>
      </w:r>
    </w:p>
    <w:p w14:paraId="123BE51C">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通过最小曲线半径：   145m（连挂时）、100m（单车时）；</w:t>
      </w:r>
    </w:p>
    <w:p w14:paraId="6C222732">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其它线路条件符合有关规定。</w:t>
      </w:r>
    </w:p>
    <w:p w14:paraId="21CC4716">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3.运输组织</w:t>
      </w:r>
    </w:p>
    <w:p w14:paraId="10440ADD">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列车设首尾车，典型编组顺次为机车+发电车(首尾车)+舒适型座席车4辆+多功能车1辆+包厢座席车1辆+亲子车1辆+多功能车1辆，可根据运用需要对中间编组车辆进行适当调整。其中1辆发电车、1辆机车仅改造外涂装。</w:t>
      </w:r>
    </w:p>
    <w:p w14:paraId="757CAC6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4.站台高度</w:t>
      </w:r>
    </w:p>
    <w:p w14:paraId="52F99E5E">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车辆应适于300mm、500mm和1250mm的站台高度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多功能车仅适用于1250mm站台高度</w:t>
      </w:r>
      <w:r>
        <w:rPr>
          <w:rFonts w:hint="eastAsia" w:ascii="宋体" w:hAnsi="宋体" w:cs="宋体"/>
          <w:bCs/>
          <w:color w:val="auto"/>
          <w:sz w:val="24"/>
          <w:szCs w:val="24"/>
          <w:highlight w:val="none"/>
          <w:lang w:eastAsia="zh-CN"/>
        </w:rPr>
        <w:t>）</w:t>
      </w:r>
      <w:r>
        <w:rPr>
          <w:rFonts w:hint="eastAsia" w:ascii="宋体" w:hAnsi="宋体" w:eastAsia="宋体" w:cs="宋体"/>
          <w:bCs/>
          <w:sz w:val="24"/>
          <w:szCs w:val="24"/>
          <w:highlight w:val="none"/>
        </w:rPr>
        <w:t>，站台边缘距线路中心距为1750mm。</w:t>
      </w:r>
    </w:p>
    <w:p w14:paraId="07BCF61F">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站台边缘距线路中心距离：1750mm。</w:t>
      </w:r>
    </w:p>
    <w:p w14:paraId="6A7CC5ED">
      <w:pPr>
        <w:pStyle w:val="14"/>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sz w:val="24"/>
          <w:szCs w:val="24"/>
        </w:rPr>
      </w:pPr>
      <w:bookmarkStart w:id="21" w:name="_Toc197529116"/>
      <w:r>
        <w:rPr>
          <w:rFonts w:hint="eastAsia" w:ascii="宋体" w:hAnsi="宋体" w:eastAsia="宋体" w:cs="宋体"/>
          <w:bCs/>
          <w:kern w:val="2"/>
          <w:sz w:val="24"/>
          <w:szCs w:val="24"/>
          <w:highlight w:val="none"/>
          <w:shd w:val="clear"/>
          <w:lang w:val="en-US" w:eastAsia="zh-CN" w:bidi="ar-SA"/>
        </w:rPr>
        <w:t>附：改造车源</w:t>
      </w:r>
      <w:bookmarkEnd w:id="21"/>
    </w:p>
    <w:p w14:paraId="7E9C34DF">
      <w:pPr>
        <w:keepNext w:val="0"/>
        <w:keepLines w:val="0"/>
        <w:pageBreakBefore w:val="0"/>
        <w:widowControl w:val="0"/>
        <w:kinsoku/>
        <w:wordWrap/>
        <w:overflowPunct/>
        <w:topLinePunct w:val="0"/>
        <w:autoSpaceDE/>
        <w:autoSpaceDN/>
        <w:bidi w:val="0"/>
        <w:adjustRightInd/>
        <w:snapToGrid/>
        <w:spacing w:line="400" w:lineRule="exact"/>
        <w:ind w:left="0" w:right="0" w:firstLine="64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改造车源为8辆25G型AC380V铁路客车。改造为4辆舒适型座席车、1辆亲子车、1辆包厢座席车和2辆多功能车，配置209P型转向架、折页门、双管供风形式。车辆信息见下表:</w:t>
      </w:r>
    </w:p>
    <w:tbl>
      <w:tblPr>
        <w:tblStyle w:val="32"/>
        <w:tblW w:w="95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2443"/>
        <w:gridCol w:w="2460"/>
        <w:gridCol w:w="2388"/>
        <w:gridCol w:w="1248"/>
      </w:tblGrid>
      <w:tr w14:paraId="1C93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15" w:type="dxa"/>
            <w:noWrap w:val="0"/>
            <w:vAlign w:val="center"/>
          </w:tcPr>
          <w:p w14:paraId="445D0214">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43" w:type="dxa"/>
            <w:noWrap w:val="0"/>
            <w:vAlign w:val="center"/>
          </w:tcPr>
          <w:p w14:paraId="3E5A1D06">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原车型车种</w:t>
            </w:r>
          </w:p>
        </w:tc>
        <w:tc>
          <w:tcPr>
            <w:tcW w:w="2460" w:type="dxa"/>
            <w:noWrap w:val="0"/>
            <w:vAlign w:val="center"/>
          </w:tcPr>
          <w:p w14:paraId="3A0ECF1F">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改后车型车种</w:t>
            </w:r>
          </w:p>
        </w:tc>
        <w:tc>
          <w:tcPr>
            <w:tcW w:w="2388" w:type="dxa"/>
            <w:noWrap w:val="0"/>
            <w:vAlign w:val="center"/>
          </w:tcPr>
          <w:p w14:paraId="53F815C2">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改后车辆用途</w:t>
            </w:r>
          </w:p>
        </w:tc>
        <w:tc>
          <w:tcPr>
            <w:tcW w:w="1248" w:type="dxa"/>
            <w:noWrap w:val="0"/>
            <w:vAlign w:val="center"/>
          </w:tcPr>
          <w:p w14:paraId="4B1579AC">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19E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5" w:type="dxa"/>
            <w:noWrap w:val="0"/>
            <w:vAlign w:val="center"/>
          </w:tcPr>
          <w:p w14:paraId="55944899">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noWrap w:val="0"/>
            <w:vAlign w:val="center"/>
          </w:tcPr>
          <w:p w14:paraId="23A052CF">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5CD8E1CC">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255C6850">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舒适型座席车</w:t>
            </w:r>
          </w:p>
        </w:tc>
        <w:tc>
          <w:tcPr>
            <w:tcW w:w="1248" w:type="dxa"/>
            <w:noWrap w:val="0"/>
            <w:vAlign w:val="center"/>
          </w:tcPr>
          <w:p w14:paraId="14C59F8A">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r>
      <w:tr w14:paraId="6982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15" w:type="dxa"/>
            <w:noWrap w:val="0"/>
            <w:vAlign w:val="center"/>
          </w:tcPr>
          <w:p w14:paraId="455850AE">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noWrap w:val="0"/>
            <w:vAlign w:val="center"/>
          </w:tcPr>
          <w:p w14:paraId="79F7F8D5">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7C86B723">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3897F87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舒适型座席车</w:t>
            </w:r>
          </w:p>
        </w:tc>
        <w:tc>
          <w:tcPr>
            <w:tcW w:w="1248" w:type="dxa"/>
            <w:noWrap w:val="0"/>
            <w:vAlign w:val="center"/>
          </w:tcPr>
          <w:p w14:paraId="031DA8B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4EB99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15" w:type="dxa"/>
            <w:noWrap w:val="0"/>
            <w:vAlign w:val="center"/>
          </w:tcPr>
          <w:p w14:paraId="71644DB4">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43" w:type="dxa"/>
            <w:noWrap w:val="0"/>
            <w:vAlign w:val="center"/>
          </w:tcPr>
          <w:p w14:paraId="27B8DC43">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55FFE1BF">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326E558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舒适型座席车</w:t>
            </w:r>
          </w:p>
        </w:tc>
        <w:tc>
          <w:tcPr>
            <w:tcW w:w="1248" w:type="dxa"/>
            <w:noWrap w:val="0"/>
            <w:vAlign w:val="center"/>
          </w:tcPr>
          <w:p w14:paraId="7BC1C76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4184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15" w:type="dxa"/>
            <w:noWrap w:val="0"/>
            <w:vAlign w:val="center"/>
          </w:tcPr>
          <w:p w14:paraId="3130D7E9">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43" w:type="dxa"/>
            <w:noWrap w:val="0"/>
            <w:vAlign w:val="center"/>
          </w:tcPr>
          <w:p w14:paraId="313D722E">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7336C789">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4CEACAE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舒适型座席车</w:t>
            </w:r>
          </w:p>
        </w:tc>
        <w:tc>
          <w:tcPr>
            <w:tcW w:w="1248" w:type="dxa"/>
            <w:noWrap w:val="0"/>
            <w:vAlign w:val="center"/>
          </w:tcPr>
          <w:p w14:paraId="67BDCF6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430A3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15" w:type="dxa"/>
            <w:noWrap w:val="0"/>
            <w:vAlign w:val="center"/>
          </w:tcPr>
          <w:p w14:paraId="1CA4C558">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43" w:type="dxa"/>
            <w:noWrap w:val="0"/>
            <w:vAlign w:val="center"/>
          </w:tcPr>
          <w:p w14:paraId="242546A6">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287D09FF">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58BAF139">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多功能车</w:t>
            </w:r>
          </w:p>
        </w:tc>
        <w:tc>
          <w:tcPr>
            <w:tcW w:w="1248" w:type="dxa"/>
            <w:noWrap w:val="0"/>
            <w:vAlign w:val="center"/>
          </w:tcPr>
          <w:p w14:paraId="28B3681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6BA9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5" w:type="dxa"/>
            <w:noWrap w:val="0"/>
            <w:vAlign w:val="center"/>
          </w:tcPr>
          <w:p w14:paraId="75CAB5E9">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43" w:type="dxa"/>
            <w:noWrap w:val="0"/>
            <w:vAlign w:val="center"/>
          </w:tcPr>
          <w:p w14:paraId="1711B3AA">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0D44409D">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78CD0F03">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多功能车</w:t>
            </w:r>
          </w:p>
        </w:tc>
        <w:tc>
          <w:tcPr>
            <w:tcW w:w="1248" w:type="dxa"/>
            <w:noWrap w:val="0"/>
            <w:vAlign w:val="center"/>
          </w:tcPr>
          <w:p w14:paraId="0EC8392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0C9DE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5" w:type="dxa"/>
            <w:noWrap w:val="0"/>
            <w:vAlign w:val="center"/>
          </w:tcPr>
          <w:p w14:paraId="68076DAD">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43" w:type="dxa"/>
            <w:noWrap w:val="0"/>
            <w:vAlign w:val="center"/>
          </w:tcPr>
          <w:p w14:paraId="7554AA0C">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7DA1790C">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4D33A821">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亲子座席车</w:t>
            </w:r>
          </w:p>
        </w:tc>
        <w:tc>
          <w:tcPr>
            <w:tcW w:w="1248" w:type="dxa"/>
            <w:noWrap w:val="0"/>
            <w:vAlign w:val="center"/>
          </w:tcPr>
          <w:p w14:paraId="38878A9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r>
      <w:tr w14:paraId="447F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15" w:type="dxa"/>
            <w:noWrap w:val="0"/>
            <w:vAlign w:val="center"/>
          </w:tcPr>
          <w:p w14:paraId="3C7749D9">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43" w:type="dxa"/>
            <w:noWrap w:val="0"/>
            <w:vAlign w:val="center"/>
          </w:tcPr>
          <w:p w14:paraId="271C0F13">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460" w:type="dxa"/>
            <w:noWrap w:val="0"/>
            <w:vAlign w:val="center"/>
          </w:tcPr>
          <w:p w14:paraId="1CD60FF8">
            <w:pPr>
              <w:pStyle w:val="108"/>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AC380V</w:t>
            </w:r>
          </w:p>
        </w:tc>
        <w:tc>
          <w:tcPr>
            <w:tcW w:w="2388" w:type="dxa"/>
            <w:noWrap w:val="0"/>
            <w:vAlign w:val="center"/>
          </w:tcPr>
          <w:p w14:paraId="045E30E5">
            <w:pPr>
              <w:pStyle w:val="10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包厢座席车</w:t>
            </w:r>
          </w:p>
        </w:tc>
        <w:tc>
          <w:tcPr>
            <w:tcW w:w="1248" w:type="dxa"/>
            <w:noWrap w:val="0"/>
            <w:vAlign w:val="center"/>
          </w:tcPr>
          <w:p w14:paraId="241D3B9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p>
        </w:tc>
      </w:tr>
    </w:tbl>
    <w:p w14:paraId="0DEF88ED">
      <w:pPr>
        <w:pStyle w:val="31"/>
        <w:ind w:left="0" w:leftChars="0" w:firstLine="0" w:firstLineChars="0"/>
        <w:rPr>
          <w:rFonts w:hint="eastAsia" w:asciiTheme="minorEastAsia" w:hAnsiTheme="minorEastAsia" w:eastAsiaTheme="minorEastAsia" w:cstheme="minorEastAsia"/>
          <w:b/>
          <w:bCs w:val="0"/>
          <w:color w:val="auto"/>
          <w:kern w:val="0"/>
          <w:sz w:val="24"/>
          <w:highlight w:val="none"/>
          <w:lang w:eastAsia="zh-CN"/>
        </w:rPr>
      </w:pPr>
      <w:r>
        <w:rPr>
          <w:rFonts w:hint="eastAsia" w:asciiTheme="minorEastAsia" w:hAnsiTheme="minorEastAsia" w:eastAsiaTheme="minorEastAsia" w:cstheme="minorEastAsia"/>
          <w:b/>
          <w:bCs w:val="0"/>
          <w:color w:val="auto"/>
          <w:kern w:val="0"/>
          <w:sz w:val="24"/>
          <w:highlight w:val="none"/>
          <w:lang w:val="en-US" w:eastAsia="zh-CN"/>
        </w:rPr>
        <w:t>三、</w:t>
      </w:r>
      <w:r>
        <w:rPr>
          <w:rFonts w:hint="eastAsia" w:asciiTheme="minorEastAsia" w:hAnsiTheme="minorEastAsia" w:eastAsiaTheme="minorEastAsia" w:cstheme="minorEastAsia"/>
          <w:b/>
          <w:bCs w:val="0"/>
          <w:color w:val="auto"/>
          <w:kern w:val="0"/>
          <w:sz w:val="24"/>
          <w:highlight w:val="none"/>
        </w:rPr>
        <w:t>商务条件</w:t>
      </w:r>
      <w:r>
        <w:rPr>
          <w:rFonts w:hint="eastAsia" w:asciiTheme="minorEastAsia" w:hAnsiTheme="minorEastAsia" w:eastAsiaTheme="minorEastAsia" w:cstheme="minorEastAsia"/>
          <w:b/>
          <w:bCs w:val="0"/>
          <w:color w:val="auto"/>
          <w:kern w:val="0"/>
          <w:sz w:val="24"/>
          <w:highlight w:val="none"/>
          <w:lang w:eastAsia="zh-CN"/>
        </w:rPr>
        <w:t>（以下内容为不允许负偏离的实质性要求）</w:t>
      </w:r>
    </w:p>
    <w:tbl>
      <w:tblPr>
        <w:tblStyle w:val="32"/>
        <w:tblW w:w="498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6"/>
        <w:gridCol w:w="1234"/>
        <w:gridCol w:w="2079"/>
        <w:gridCol w:w="5611"/>
      </w:tblGrid>
      <w:tr w14:paraId="625C5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1" w:hRule="atLeast"/>
        </w:trPr>
        <w:tc>
          <w:tcPr>
            <w:tcW w:w="456" w:type="pct"/>
            <w:noWrap w:val="0"/>
            <w:vAlign w:val="center"/>
          </w:tcPr>
          <w:p w14:paraId="5F4DB30D">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bookmarkStart w:id="22" w:name="_Toc110533284"/>
            <w:r>
              <w:rPr>
                <w:rFonts w:hint="eastAsia" w:asciiTheme="minorEastAsia" w:hAnsiTheme="minorEastAsia" w:eastAsiaTheme="minorEastAsia" w:cstheme="minorEastAsia"/>
                <w:b/>
                <w:bCs/>
                <w:color w:val="auto"/>
                <w:sz w:val="24"/>
                <w:szCs w:val="24"/>
                <w:highlight w:val="none"/>
              </w:rPr>
              <w:t>序号</w:t>
            </w:r>
          </w:p>
        </w:tc>
        <w:tc>
          <w:tcPr>
            <w:tcW w:w="628" w:type="pct"/>
            <w:noWrap w:val="0"/>
            <w:vAlign w:val="center"/>
          </w:tcPr>
          <w:p w14:paraId="29DFA48B">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参数性质</w:t>
            </w:r>
          </w:p>
        </w:tc>
        <w:tc>
          <w:tcPr>
            <w:tcW w:w="1058" w:type="pct"/>
            <w:noWrap w:val="0"/>
            <w:vAlign w:val="center"/>
          </w:tcPr>
          <w:p w14:paraId="071EB217">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类型</w:t>
            </w:r>
          </w:p>
        </w:tc>
        <w:tc>
          <w:tcPr>
            <w:tcW w:w="2856" w:type="pct"/>
            <w:noWrap w:val="0"/>
            <w:vAlign w:val="center"/>
          </w:tcPr>
          <w:p w14:paraId="6B306F4F">
            <w:pPr>
              <w:pStyle w:val="10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要求</w:t>
            </w:r>
          </w:p>
        </w:tc>
      </w:tr>
      <w:tr w14:paraId="4612B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64EBC1E8">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28" w:type="pct"/>
            <w:noWrap w:val="0"/>
            <w:vAlign w:val="center"/>
          </w:tcPr>
          <w:p w14:paraId="74AAC1EE">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4B99DE65">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2856" w:type="pct"/>
            <w:noWrap w:val="0"/>
            <w:vAlign w:val="center"/>
          </w:tcPr>
          <w:p w14:paraId="28A56EC0">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z w:val="24"/>
                <w:szCs w:val="24"/>
                <w:highlight w:val="none"/>
              </w:rPr>
              <w:t>内完成</w:t>
            </w:r>
            <w:r>
              <w:rPr>
                <w:rFonts w:hint="eastAsia" w:asciiTheme="minorEastAsia" w:hAnsiTheme="minorEastAsia" w:eastAsiaTheme="minorEastAsia" w:cstheme="minorEastAsia"/>
                <w:color w:val="auto"/>
                <w:sz w:val="24"/>
                <w:szCs w:val="24"/>
                <w:highlight w:val="none"/>
              </w:rPr>
              <w:t>。</w:t>
            </w:r>
          </w:p>
        </w:tc>
      </w:tr>
      <w:tr w14:paraId="05055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2111ACC6">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28" w:type="pct"/>
            <w:noWrap w:val="0"/>
            <w:vAlign w:val="center"/>
          </w:tcPr>
          <w:p w14:paraId="2A78CFA8">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58378EC8">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2856" w:type="pct"/>
            <w:noWrap w:val="0"/>
            <w:vAlign w:val="center"/>
          </w:tcPr>
          <w:p w14:paraId="104D4B7A">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eastAsia="zh-CN"/>
              </w:rPr>
              <w:t>中标单位改造工厂</w:t>
            </w:r>
            <w:r>
              <w:rPr>
                <w:rFonts w:hint="eastAsia" w:ascii="宋体" w:hAnsi="宋体" w:cs="宋体"/>
                <w:color w:val="auto"/>
                <w:sz w:val="24"/>
                <w:szCs w:val="24"/>
                <w:highlight w:val="none"/>
                <w:lang w:eastAsia="zh-CN"/>
              </w:rPr>
              <w:t>（</w:t>
            </w:r>
            <w:r>
              <w:rPr>
                <w:rFonts w:ascii="宋体" w:hAnsi="宋体" w:cs="宋体"/>
                <w:bCs/>
                <w:sz w:val="24"/>
                <w:szCs w:val="24"/>
                <w:highlight w:val="none"/>
                <w:lang w:eastAsia="zh-CN"/>
              </w:rPr>
              <w:t>招标人</w:t>
            </w:r>
            <w:r>
              <w:rPr>
                <w:rFonts w:ascii="宋体" w:hAnsi="宋体" w:cs="宋体"/>
                <w:bCs/>
                <w:sz w:val="24"/>
                <w:szCs w:val="24"/>
                <w:highlight w:val="none"/>
              </w:rPr>
              <w:t>指定地点</w:t>
            </w:r>
            <w:r>
              <w:rPr>
                <w:rFonts w:hint="eastAsia" w:ascii="宋体" w:hAnsi="宋体" w:cs="宋体"/>
                <w:bCs/>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p>
        </w:tc>
      </w:tr>
      <w:tr w14:paraId="62C5E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055FD3AF">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628" w:type="pct"/>
            <w:noWrap w:val="0"/>
            <w:vAlign w:val="center"/>
          </w:tcPr>
          <w:p w14:paraId="6211A429">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34C02C62">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2856" w:type="pct"/>
            <w:noWrap w:val="0"/>
            <w:vAlign w:val="center"/>
          </w:tcPr>
          <w:p w14:paraId="01AC1449">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符合招标文件、投标文件和采购合同规定</w:t>
            </w:r>
            <w:r>
              <w:rPr>
                <w:rFonts w:hint="eastAsia" w:asciiTheme="minorEastAsia" w:hAnsiTheme="minorEastAsia" w:eastAsiaTheme="minorEastAsia" w:cstheme="minorEastAsia"/>
                <w:color w:val="auto"/>
                <w:sz w:val="24"/>
                <w:szCs w:val="24"/>
                <w:highlight w:val="none"/>
              </w:rPr>
              <w:t>。</w:t>
            </w:r>
          </w:p>
        </w:tc>
      </w:tr>
      <w:tr w14:paraId="367C4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7F40768E">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628" w:type="pct"/>
            <w:noWrap w:val="0"/>
            <w:vAlign w:val="center"/>
          </w:tcPr>
          <w:p w14:paraId="02C8C1F4">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1B0A6EA4">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2856" w:type="pct"/>
            <w:noWrap w:val="0"/>
            <w:vAlign w:val="center"/>
          </w:tcPr>
          <w:p w14:paraId="147B87FF">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2903A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5B2AD6C7">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628" w:type="pct"/>
            <w:noWrap w:val="0"/>
            <w:vAlign w:val="center"/>
          </w:tcPr>
          <w:p w14:paraId="1D27B565">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3C240C73">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2856" w:type="pct"/>
            <w:noWrap w:val="0"/>
            <w:vAlign w:val="center"/>
          </w:tcPr>
          <w:p w14:paraId="6814D1AF">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1、期次1，说明：按国家标准或行业相关标准</w:t>
            </w:r>
            <w:r>
              <w:rPr>
                <w:rFonts w:hint="eastAsia" w:asciiTheme="minorEastAsia" w:hAnsiTheme="minorEastAsia" w:eastAsia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招标文件进行验收。</w:t>
            </w:r>
          </w:p>
        </w:tc>
      </w:tr>
      <w:tr w14:paraId="3CED0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18A98012">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628" w:type="pct"/>
            <w:noWrap w:val="0"/>
            <w:vAlign w:val="center"/>
          </w:tcPr>
          <w:p w14:paraId="23D5E67F">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4509744D">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2856" w:type="pct"/>
            <w:noWrap w:val="0"/>
            <w:vAlign w:val="center"/>
          </w:tcPr>
          <w:p w14:paraId="2F908373">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kern w:val="2"/>
                <w:sz w:val="24"/>
                <w:szCs w:val="24"/>
                <w:highlight w:val="none"/>
                <w:lang w:val="en-US" w:eastAsia="zh-CN" w:bidi="ar-SA"/>
              </w:rPr>
              <w:t>合同签订后30日内</w:t>
            </w:r>
            <w:r>
              <w:rPr>
                <w:rFonts w:hint="eastAsia" w:ascii="宋体" w:hAnsi="宋体" w:cs="宋体"/>
                <w:kern w:val="2"/>
                <w:sz w:val="24"/>
                <w:szCs w:val="24"/>
                <w:highlight w:val="none"/>
                <w:lang w:val="en-US" w:eastAsia="zh-CN" w:bidi="ar-SA"/>
              </w:rPr>
              <w:t>招标人</w:t>
            </w:r>
            <w:r>
              <w:rPr>
                <w:rFonts w:hint="eastAsia" w:ascii="宋体" w:hAnsi="宋体" w:eastAsia="宋体" w:cs="宋体"/>
                <w:kern w:val="2"/>
                <w:sz w:val="24"/>
                <w:szCs w:val="24"/>
                <w:highlight w:val="none"/>
                <w:lang w:val="en-US" w:eastAsia="zh-CN" w:bidi="ar-SA"/>
              </w:rPr>
              <w:t>向</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kern w:val="2"/>
                <w:sz w:val="24"/>
                <w:szCs w:val="24"/>
                <w:highlight w:val="none"/>
                <w:lang w:val="en-US" w:eastAsia="zh-CN" w:bidi="ar-SA"/>
              </w:rPr>
              <w:t>支付合同金额的30%；车辆完工验收合格返段后6个月后15日内，</w:t>
            </w:r>
            <w:r>
              <w:rPr>
                <w:rFonts w:hint="eastAsia" w:ascii="宋体" w:hAnsi="宋体" w:cs="宋体"/>
                <w:kern w:val="2"/>
                <w:sz w:val="24"/>
                <w:szCs w:val="24"/>
                <w:highlight w:val="none"/>
                <w:lang w:val="en-US" w:eastAsia="zh-CN" w:bidi="ar-SA"/>
              </w:rPr>
              <w:t>招标人</w:t>
            </w:r>
            <w:r>
              <w:rPr>
                <w:rFonts w:hint="eastAsia" w:ascii="宋体" w:hAnsi="宋体" w:eastAsia="宋体" w:cs="宋体"/>
                <w:kern w:val="2"/>
                <w:sz w:val="24"/>
                <w:szCs w:val="24"/>
                <w:highlight w:val="none"/>
                <w:lang w:val="en-US" w:eastAsia="zh-CN" w:bidi="ar-SA"/>
              </w:rPr>
              <w:t>需支付合同金额的70%；尾款的支付并不表示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kern w:val="2"/>
                <w:sz w:val="24"/>
                <w:szCs w:val="24"/>
                <w:highlight w:val="none"/>
                <w:lang w:val="en-US" w:eastAsia="zh-CN" w:bidi="ar-SA"/>
              </w:rPr>
              <w:t>质保责任的结束，</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kern w:val="2"/>
                <w:sz w:val="24"/>
                <w:szCs w:val="24"/>
                <w:highlight w:val="none"/>
                <w:lang w:val="en-US" w:eastAsia="zh-CN" w:bidi="ar-SA"/>
              </w:rPr>
              <w:t>仍须按照合同条款约定的质保期继续履行质保责任。</w:t>
            </w:r>
          </w:p>
        </w:tc>
      </w:tr>
      <w:tr w14:paraId="6FE00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noWrap w:val="0"/>
            <w:vAlign w:val="center"/>
          </w:tcPr>
          <w:p w14:paraId="0FDFE3FD">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628" w:type="pct"/>
            <w:noWrap w:val="0"/>
            <w:vAlign w:val="center"/>
          </w:tcPr>
          <w:p w14:paraId="58160C4F">
            <w:pPr>
              <w:pStyle w:val="10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8" w:type="pct"/>
            <w:noWrap w:val="0"/>
            <w:vAlign w:val="center"/>
          </w:tcPr>
          <w:p w14:paraId="0A02B963">
            <w:pPr>
              <w:pStyle w:val="100"/>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2856" w:type="pct"/>
            <w:noWrap w:val="0"/>
            <w:vAlign w:val="center"/>
          </w:tcPr>
          <w:p w14:paraId="483659C6">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缴纳,本</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履约保证金为合同金额的</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p>
          <w:p w14:paraId="10955772">
            <w:pPr>
              <w:pStyle w:val="100"/>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ascii="宋体" w:hAnsi="宋体" w:cs="宋体"/>
                <w:bCs/>
                <w:sz w:val="24"/>
                <w:szCs w:val="24"/>
                <w:highlight w:val="none"/>
                <w:lang w:eastAsia="zh-CN"/>
              </w:rPr>
              <w:t>中标人</w:t>
            </w:r>
            <w:r>
              <w:rPr>
                <w:rFonts w:ascii="宋体" w:hAnsi="宋体" w:cs="宋体"/>
                <w:bCs/>
                <w:sz w:val="24"/>
                <w:szCs w:val="24"/>
                <w:highlight w:val="none"/>
              </w:rPr>
              <w:t>在签订合同前，以</w:t>
            </w:r>
            <w:r>
              <w:rPr>
                <w:rFonts w:hint="eastAsia" w:ascii="宋体" w:hAnsi="宋体" w:cs="宋体"/>
                <w:bCs/>
                <w:sz w:val="24"/>
                <w:szCs w:val="24"/>
                <w:highlight w:val="none"/>
                <w:lang w:val="en-US" w:eastAsia="zh-CN"/>
              </w:rPr>
              <w:t>银行</w:t>
            </w:r>
            <w:r>
              <w:rPr>
                <w:rFonts w:ascii="宋体" w:hAnsi="宋体" w:cs="宋体"/>
                <w:bCs/>
                <w:sz w:val="24"/>
                <w:szCs w:val="24"/>
                <w:highlight w:val="none"/>
              </w:rPr>
              <w:t>转账</w:t>
            </w:r>
            <w:r>
              <w:rPr>
                <w:rFonts w:hint="eastAsia" w:ascii="宋体" w:hAnsi="宋体" w:cs="宋体"/>
                <w:b/>
                <w:bCs w:val="0"/>
                <w:sz w:val="24"/>
                <w:szCs w:val="24"/>
                <w:highlight w:val="none"/>
                <w:lang w:eastAsia="zh-CN"/>
              </w:rPr>
              <w:t>（履约保证金收款账户：南平武夷文旅研究院有限公司；开户行：</w:t>
            </w:r>
            <w:r>
              <w:rPr>
                <w:rFonts w:ascii="宋体" w:hAnsi="宋体" w:eastAsia="宋体" w:cs="宋体"/>
                <w:b/>
                <w:bCs/>
                <w:sz w:val="24"/>
                <w:szCs w:val="24"/>
              </w:rPr>
              <w:t>兴业银行股份有限公司建阳支行</w:t>
            </w:r>
            <w:r>
              <w:rPr>
                <w:rFonts w:hint="eastAsia" w:ascii="宋体" w:hAnsi="宋体" w:cs="宋体"/>
                <w:b/>
                <w:bCs w:val="0"/>
                <w:sz w:val="24"/>
                <w:szCs w:val="24"/>
                <w:highlight w:val="none"/>
                <w:lang w:eastAsia="zh-CN"/>
              </w:rPr>
              <w:t>；账号：</w:t>
            </w:r>
            <w:r>
              <w:rPr>
                <w:rFonts w:ascii="宋体" w:hAnsi="宋体" w:eastAsia="宋体" w:cs="宋体"/>
                <w:b/>
                <w:bCs/>
                <w:sz w:val="24"/>
                <w:szCs w:val="24"/>
              </w:rPr>
              <w:t>192020100100369775</w:t>
            </w:r>
            <w:r>
              <w:rPr>
                <w:rFonts w:hint="eastAsia" w:ascii="宋体" w:hAnsi="宋体" w:cs="宋体"/>
                <w:b/>
                <w:bCs w:val="0"/>
                <w:sz w:val="24"/>
                <w:szCs w:val="24"/>
                <w:highlight w:val="none"/>
                <w:lang w:eastAsia="zh-CN"/>
              </w:rPr>
              <w:t>）</w:t>
            </w:r>
            <w:r>
              <w:rPr>
                <w:rFonts w:hint="eastAsia" w:ascii="宋体" w:hAnsi="宋体" w:cs="宋体"/>
                <w:bCs/>
                <w:sz w:val="24"/>
                <w:szCs w:val="24"/>
                <w:highlight w:val="none"/>
                <w:lang w:eastAsia="zh-CN"/>
              </w:rPr>
              <w:t>，</w:t>
            </w:r>
            <w:r>
              <w:rPr>
                <w:rFonts w:hint="eastAsia" w:ascii="宋体" w:hAnsi="宋体" w:eastAsia="宋体" w:cs="宋体"/>
                <w:sz w:val="24"/>
                <w:szCs w:val="24"/>
                <w:lang w:val="en-US" w:eastAsia="zh-CN"/>
              </w:rPr>
              <w:t>支票、汇票、本票或者金融机构、担保机构出具的保函等</w:t>
            </w:r>
            <w:r>
              <w:rPr>
                <w:rFonts w:ascii="宋体" w:hAnsi="宋体" w:cs="宋体"/>
                <w:bCs/>
                <w:sz w:val="24"/>
                <w:szCs w:val="24"/>
                <w:highlight w:val="none"/>
              </w:rPr>
              <w:t>非现金方式向</w:t>
            </w:r>
            <w:r>
              <w:rPr>
                <w:rFonts w:ascii="宋体" w:hAnsi="宋体" w:cs="宋体"/>
                <w:bCs/>
                <w:sz w:val="24"/>
                <w:szCs w:val="24"/>
                <w:highlight w:val="none"/>
                <w:lang w:eastAsia="zh-CN"/>
              </w:rPr>
              <w:t>招标人</w:t>
            </w:r>
            <w:r>
              <w:rPr>
                <w:rFonts w:ascii="宋体" w:hAnsi="宋体" w:cs="宋体"/>
                <w:bCs/>
                <w:sz w:val="24"/>
                <w:szCs w:val="24"/>
                <w:highlight w:val="none"/>
              </w:rPr>
              <w:t>缴纳合同总金额</w:t>
            </w:r>
            <w:r>
              <w:rPr>
                <w:rFonts w:hint="eastAsia" w:ascii="宋体" w:hAnsi="宋体" w:cs="宋体"/>
                <w:bCs/>
                <w:sz w:val="24"/>
                <w:szCs w:val="24"/>
                <w:highlight w:val="none"/>
                <w:lang w:val="en-US" w:eastAsia="zh-CN"/>
              </w:rPr>
              <w:t>10</w:t>
            </w:r>
            <w:r>
              <w:rPr>
                <w:rFonts w:ascii="宋体" w:hAnsi="宋体" w:cs="宋体"/>
                <w:bCs/>
                <w:sz w:val="24"/>
                <w:szCs w:val="24"/>
                <w:highlight w:val="none"/>
              </w:rPr>
              <w:t>%履约保证金</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收到中标通知书后7个工作日内提供</w:t>
            </w:r>
            <w:r>
              <w:rPr>
                <w:rFonts w:hint="eastAsia" w:ascii="宋体" w:hAnsi="宋体" w:cs="宋体"/>
                <w:sz w:val="24"/>
                <w:szCs w:val="24"/>
                <w:lang w:val="en-US" w:eastAsia="zh-CN"/>
              </w:rPr>
              <w:t>）</w:t>
            </w:r>
            <w:r>
              <w:rPr>
                <w:rFonts w:ascii="宋体" w:hAnsi="宋体" w:cs="宋体"/>
                <w:bCs/>
                <w:sz w:val="24"/>
                <w:szCs w:val="24"/>
                <w:highlight w:val="none"/>
              </w:rPr>
              <w:t>，如</w:t>
            </w:r>
            <w:r>
              <w:rPr>
                <w:rFonts w:ascii="宋体" w:hAnsi="宋体" w:cs="宋体"/>
                <w:bCs/>
                <w:sz w:val="24"/>
                <w:szCs w:val="24"/>
                <w:highlight w:val="none"/>
                <w:lang w:eastAsia="zh-CN"/>
              </w:rPr>
              <w:t>中标人</w:t>
            </w:r>
            <w:r>
              <w:rPr>
                <w:rFonts w:ascii="宋体" w:hAnsi="宋体" w:cs="宋体"/>
                <w:bCs/>
                <w:sz w:val="24"/>
                <w:szCs w:val="24"/>
                <w:highlight w:val="none"/>
              </w:rPr>
              <w:t>未按合同有关规定履行其义务，</w:t>
            </w:r>
            <w:r>
              <w:rPr>
                <w:rFonts w:ascii="宋体" w:hAnsi="宋体" w:cs="宋体"/>
                <w:bCs/>
                <w:sz w:val="24"/>
                <w:szCs w:val="24"/>
                <w:highlight w:val="none"/>
                <w:lang w:eastAsia="zh-CN"/>
              </w:rPr>
              <w:t>招标人</w:t>
            </w:r>
            <w:r>
              <w:rPr>
                <w:rFonts w:ascii="宋体" w:hAnsi="宋体" w:cs="宋体"/>
                <w:bCs/>
                <w:sz w:val="24"/>
                <w:szCs w:val="24"/>
                <w:highlight w:val="none"/>
              </w:rPr>
              <w:t>有权扣除履约保证金，用以补偿。</w:t>
            </w:r>
            <w:r>
              <w:rPr>
                <w:rFonts w:ascii="宋体" w:hAnsi="宋体" w:cs="宋体"/>
                <w:bCs/>
                <w:sz w:val="24"/>
                <w:szCs w:val="24"/>
                <w:highlight w:val="none"/>
                <w:lang w:eastAsia="zh-CN"/>
              </w:rPr>
              <w:t>中标人</w:t>
            </w:r>
            <w:r>
              <w:rPr>
                <w:rFonts w:ascii="宋体" w:hAnsi="宋体" w:cs="宋体"/>
                <w:bCs/>
                <w:sz w:val="24"/>
                <w:szCs w:val="24"/>
                <w:highlight w:val="none"/>
              </w:rPr>
              <w:t>的履约保证金待</w:t>
            </w:r>
            <w:r>
              <w:rPr>
                <w:rFonts w:hint="eastAsia" w:ascii="宋体" w:hAnsi="宋体" w:cs="宋体"/>
                <w:bCs/>
                <w:sz w:val="24"/>
                <w:szCs w:val="24"/>
                <w:highlight w:val="none"/>
                <w:lang w:eastAsia="zh-CN"/>
              </w:rPr>
              <w:t>合同所有条款履行完毕</w:t>
            </w:r>
            <w:r>
              <w:rPr>
                <w:rFonts w:ascii="宋体" w:hAnsi="宋体" w:cs="宋体"/>
                <w:bCs/>
                <w:sz w:val="24"/>
                <w:szCs w:val="24"/>
                <w:highlight w:val="none"/>
              </w:rPr>
              <w:t>后，</w:t>
            </w:r>
            <w:r>
              <w:rPr>
                <w:rFonts w:hint="eastAsia" w:ascii="宋体" w:hAnsi="宋体" w:cs="宋体"/>
                <w:bCs/>
                <w:sz w:val="24"/>
                <w:szCs w:val="24"/>
                <w:highlight w:val="none"/>
                <w:lang w:eastAsia="zh-CN"/>
              </w:rPr>
              <w:t>无未了事项，</w:t>
            </w:r>
            <w:r>
              <w:rPr>
                <w:rFonts w:ascii="宋体" w:hAnsi="宋体" w:cs="宋体"/>
                <w:bCs/>
                <w:sz w:val="24"/>
                <w:szCs w:val="24"/>
                <w:highlight w:val="none"/>
                <w:lang w:eastAsia="zh-CN"/>
              </w:rPr>
              <w:t>中标人</w:t>
            </w:r>
            <w:r>
              <w:rPr>
                <w:rFonts w:ascii="宋体" w:hAnsi="宋体" w:cs="宋体"/>
                <w:bCs/>
                <w:sz w:val="24"/>
                <w:szCs w:val="24"/>
                <w:highlight w:val="none"/>
              </w:rPr>
              <w:t>凭合同、履约保证金证明及书面申请后，</w:t>
            </w:r>
            <w:r>
              <w:rPr>
                <w:rFonts w:hint="eastAsia" w:ascii="宋体" w:hAnsi="宋体" w:eastAsia="宋体" w:cs="宋体"/>
                <w:sz w:val="24"/>
                <w:szCs w:val="24"/>
                <w:lang w:val="en-US" w:eastAsia="zh-CN"/>
              </w:rPr>
              <w:t>车辆验收合格出厂后，</w:t>
            </w:r>
            <w:r>
              <w:rPr>
                <w:rFonts w:ascii="宋体" w:hAnsi="宋体" w:cs="宋体"/>
                <w:bCs/>
                <w:sz w:val="24"/>
                <w:szCs w:val="24"/>
                <w:highlight w:val="none"/>
                <w:lang w:eastAsia="zh-CN"/>
              </w:rPr>
              <w:t>招标人</w:t>
            </w:r>
            <w:r>
              <w:rPr>
                <w:rFonts w:ascii="宋体" w:hAnsi="宋体" w:cs="宋体"/>
                <w:bCs/>
                <w:sz w:val="24"/>
                <w:szCs w:val="24"/>
                <w:highlight w:val="none"/>
              </w:rPr>
              <w:t>在30</w:t>
            </w:r>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历日</w:t>
            </w:r>
            <w:r>
              <w:rPr>
                <w:rFonts w:ascii="宋体" w:hAnsi="宋体" w:cs="宋体"/>
                <w:bCs/>
                <w:sz w:val="24"/>
                <w:szCs w:val="24"/>
                <w:highlight w:val="none"/>
              </w:rPr>
              <w:t>内予无息退还。</w:t>
            </w:r>
          </w:p>
        </w:tc>
      </w:tr>
      <w:bookmarkEnd w:id="22"/>
    </w:tbl>
    <w:p w14:paraId="0184A76E">
      <w:pPr>
        <w:pStyle w:val="109"/>
        <w:keepNext w:val="0"/>
        <w:keepLines w:val="0"/>
        <w:pageBreakBefore w:val="0"/>
        <w:kinsoku/>
        <w:wordWrap/>
        <w:overflowPunct/>
        <w:autoSpaceDE/>
        <w:autoSpaceDN/>
        <w:bidi w:val="0"/>
        <w:adjustRightInd/>
        <w:snapToGrid/>
        <w:spacing w:after="0" w:line="400" w:lineRule="exact"/>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、报价方式</w:t>
      </w:r>
    </w:p>
    <w:p w14:paraId="2AA2BF9F">
      <w:pPr>
        <w:pStyle w:val="109"/>
        <w:keepNext w:val="0"/>
        <w:keepLines w:val="0"/>
        <w:pageBreakBefore w:val="0"/>
        <w:kinsoku/>
        <w:wordWrap/>
        <w:overflowPunct/>
        <w:autoSpaceDE/>
        <w:autoSpaceDN/>
        <w:bidi w:val="0"/>
        <w:adjustRightInd/>
        <w:snapToGrid/>
        <w:spacing w:after="0" w:line="400" w:lineRule="exact"/>
        <w:ind w:firstLine="481"/>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本项目为交钥匙采购项目</w:t>
      </w:r>
      <w:r>
        <w:rPr>
          <w:rFonts w:hint="eastAsia" w:ascii="宋体" w:hAnsi="宋体" w:cs="宋体"/>
          <w:color w:val="auto"/>
          <w:sz w:val="24"/>
          <w:szCs w:val="24"/>
          <w:highlight w:val="none"/>
          <w:lang w:val="en-US" w:eastAsia="zh-CN"/>
        </w:rPr>
        <w:t>（中标价包干）</w:t>
      </w:r>
      <w:r>
        <w:rPr>
          <w:rFonts w:hint="eastAsia" w:ascii="宋体" w:hAnsi="宋体" w:eastAsia="宋体" w:cs="宋体"/>
          <w:color w:val="auto"/>
          <w:sz w:val="24"/>
          <w:szCs w:val="24"/>
          <w:highlight w:val="none"/>
          <w:lang w:val="en-US" w:eastAsia="zh-CN"/>
        </w:rPr>
        <w:t>。中标后在履约期间不增加任何费用。</w:t>
      </w:r>
    </w:p>
    <w:p w14:paraId="1408513B">
      <w:pPr>
        <w:pStyle w:val="109"/>
        <w:keepNext w:val="0"/>
        <w:keepLines w:val="0"/>
        <w:pageBreakBefore w:val="0"/>
        <w:kinsoku/>
        <w:wordWrap/>
        <w:overflowPunct/>
        <w:autoSpaceDE/>
        <w:autoSpaceDN/>
        <w:bidi w:val="0"/>
        <w:adjustRightInd/>
        <w:snapToGrid/>
        <w:spacing w:after="0" w:line="400" w:lineRule="exact"/>
        <w:ind w:firstLine="481"/>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所有投标均以人民币报价，报价内容包含招标文件规定的货物；标准附件；备品备件；专用工具；安装、调试、检验；技术服务</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相关费用。</w:t>
      </w:r>
    </w:p>
    <w:p w14:paraId="19D5AF93">
      <w:pPr>
        <w:pStyle w:val="109"/>
        <w:keepNext w:val="0"/>
        <w:keepLines w:val="0"/>
        <w:pageBreakBefore w:val="0"/>
        <w:kinsoku/>
        <w:wordWrap/>
        <w:overflowPunct/>
        <w:autoSpaceDE/>
        <w:autoSpaceDN/>
        <w:bidi w:val="0"/>
        <w:adjustRightInd/>
        <w:snapToGrid/>
        <w:spacing w:after="0" w:line="400" w:lineRule="exact"/>
        <w:ind w:firstLine="481"/>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投标人应自行增加设备正常、合法、安全运行及使用所必须但招标文件没有包含的所有设备、版权、专利等一切费用。</w:t>
      </w:r>
    </w:p>
    <w:p w14:paraId="503BECAB">
      <w:pPr>
        <w:keepNext w:val="0"/>
        <w:keepLines w:val="0"/>
        <w:pageBreakBefore w:val="0"/>
        <w:kinsoku/>
        <w:wordWrap/>
        <w:overflowPunct/>
        <w:autoSpaceDE/>
        <w:autoSpaceDN/>
        <w:bidi w:val="0"/>
        <w:adjustRightInd/>
        <w:snapToGrid/>
        <w:spacing w:line="400" w:lineRule="exact"/>
        <w:ind w:firstLine="482" w:firstLineChars="200"/>
        <w:textAlignment w:val="auto"/>
        <w:outlineLvl w:val="2"/>
        <w:rPr>
          <w:rFonts w:hint="eastAsia" w:ascii="宋体" w:hAnsi="宋体" w:eastAsia="宋体" w:cs="宋体"/>
          <w:b/>
          <w:bCs/>
          <w:sz w:val="24"/>
          <w:szCs w:val="24"/>
          <w:highlight w:val="none"/>
        </w:rPr>
      </w:pPr>
      <w:bookmarkStart w:id="23" w:name="_Toc20973"/>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、项目验收</w:t>
      </w:r>
      <w:bookmarkEnd w:id="23"/>
    </w:p>
    <w:p w14:paraId="65F88BA3">
      <w:pPr>
        <w:pStyle w:val="100"/>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24" w:name="_Toc280"/>
      <w:r>
        <w:rPr>
          <w:rFonts w:hint="eastAsia" w:ascii="宋体" w:hAnsi="宋体" w:eastAsia="宋体" w:cs="宋体"/>
          <w:color w:val="auto"/>
          <w:sz w:val="24"/>
          <w:szCs w:val="24"/>
          <w:lang w:val="en-US" w:eastAsia="zh-CN"/>
        </w:rPr>
        <w:t>设计、改造验收标准：设计、厂修和改造铁路相关部分是由监造项目部统一按照国铁集团现行标准规范执行，改造装饰部分非铁路相关改造按照国家现行质量验收标准执行。</w:t>
      </w:r>
    </w:p>
    <w:p w14:paraId="16840D6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、质保期及售后服务</w:t>
      </w:r>
      <w:bookmarkEnd w:id="24"/>
    </w:p>
    <w:p w14:paraId="3AADC8FC">
      <w:pPr>
        <w:keepNext w:val="0"/>
        <w:keepLines w:val="0"/>
        <w:pageBreakBefore w:val="0"/>
        <w:kinsoku/>
        <w:wordWrap/>
        <w:overflowPunct/>
        <w:topLinePunct/>
        <w:autoSpaceDE/>
        <w:autoSpaceDN/>
        <w:bidi w:val="0"/>
        <w:adjustRightInd/>
        <w:snapToGrid/>
        <w:spacing w:line="40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shd w:val="clear" w:fill="FFFFFF"/>
          <w:lang w:val="en-US" w:eastAsia="zh-CN"/>
        </w:rPr>
        <w:t>10</w:t>
      </w:r>
      <w:r>
        <w:rPr>
          <w:rFonts w:hint="eastAsia" w:ascii="宋体" w:hAnsi="宋体" w:eastAsia="宋体" w:cs="宋体"/>
          <w:color w:val="auto"/>
          <w:kern w:val="0"/>
          <w:sz w:val="24"/>
          <w:szCs w:val="24"/>
          <w:highlight w:val="none"/>
          <w:shd w:val="clear" w:fill="FFFFFF"/>
          <w:lang w:val="en-US" w:eastAsia="zh-Hans"/>
        </w:rPr>
        <w:t xml:space="preserve">.1 </w:t>
      </w:r>
      <w:r>
        <w:rPr>
          <w:rFonts w:hint="eastAsia" w:ascii="宋体" w:hAnsi="宋体" w:eastAsia="宋体" w:cs="宋体"/>
          <w:color w:val="auto"/>
          <w:kern w:val="0"/>
          <w:sz w:val="24"/>
          <w:szCs w:val="24"/>
          <w:highlight w:val="none"/>
          <w:shd w:val="clear" w:fill="FFFFFF"/>
          <w:lang w:val="en-US" w:eastAsia="zh-CN"/>
        </w:rPr>
        <w:t>质保期自客车竣工、客车经相关验收合格返段之日起计，铁路设施设备的质量保修期参照国家和国铁集团现行政策、标准及有关规定执行，非铁路设施设备的质量保修期不得少于2年，非铁路设施设备的质量保修期低于2年的，按2年执行;非铁路设施设备的质量保修期高于2年的，按其本身质保期执行。</w:t>
      </w:r>
      <w:r>
        <w:rPr>
          <w:rFonts w:hint="eastAsia" w:ascii="宋体" w:hAnsi="宋体" w:eastAsia="宋体" w:cs="宋体"/>
          <w:color w:val="auto"/>
          <w:kern w:val="0"/>
          <w:sz w:val="24"/>
          <w:szCs w:val="24"/>
          <w:highlight w:val="none"/>
          <w:shd w:val="clear" w:fill="FFFFFF"/>
          <w:lang w:val="en-US" w:eastAsia="zh-Hans"/>
        </w:rPr>
        <w:t>若由于采购</w:t>
      </w:r>
      <w:r>
        <w:rPr>
          <w:rFonts w:hint="eastAsia" w:ascii="宋体" w:hAnsi="宋体" w:eastAsia="宋体" w:cs="宋体"/>
          <w:color w:val="auto"/>
          <w:sz w:val="24"/>
          <w:szCs w:val="24"/>
          <w:highlight w:val="none"/>
        </w:rPr>
        <w:t>人自身原因造成的不在免费保修服务内，采购人仍可与中标人协商解决。</w:t>
      </w:r>
    </w:p>
    <w:p w14:paraId="6589C5BB">
      <w:pPr>
        <w:pStyle w:val="100"/>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b/>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.2</w:t>
      </w:r>
      <w:r>
        <w:rPr>
          <w:rFonts w:hint="eastAsia" w:ascii="宋体" w:hAnsi="宋体" w:eastAsia="宋体" w:cs="宋体"/>
          <w:sz w:val="24"/>
          <w:szCs w:val="24"/>
          <w:lang w:val="en-US" w:eastAsia="zh-CN"/>
        </w:rPr>
        <w:t>投标人</w:t>
      </w:r>
      <w:r>
        <w:rPr>
          <w:rFonts w:hint="eastAsia" w:ascii="宋体" w:hAnsi="宋体" w:eastAsia="宋体" w:cs="宋体"/>
          <w:sz w:val="24"/>
          <w:szCs w:val="24"/>
        </w:rPr>
        <w:t>可视自身能力在</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文件中提供更优、更合理的售后服务承诺。</w:t>
      </w:r>
    </w:p>
    <w:p w14:paraId="6B88D8F3">
      <w:pPr>
        <w:pStyle w:val="10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11</w:t>
      </w:r>
      <w:r>
        <w:rPr>
          <w:rFonts w:hint="eastAsia" w:ascii="宋体" w:hAnsi="宋体" w:eastAsia="宋体" w:cs="宋体"/>
          <w:b/>
          <w:bCs/>
          <w:sz w:val="24"/>
          <w:szCs w:val="24"/>
          <w:lang w:val="en-US" w:eastAsia="zh-CN"/>
        </w:rPr>
        <w:t>、</w:t>
      </w:r>
      <w:r>
        <w:rPr>
          <w:rFonts w:hint="eastAsia" w:ascii="宋体" w:hAnsi="宋体" w:eastAsia="宋体" w:cs="宋体"/>
          <w:b/>
          <w:color w:val="auto"/>
          <w:sz w:val="24"/>
          <w:szCs w:val="24"/>
        </w:rPr>
        <w:t>违约责任</w:t>
      </w:r>
    </w:p>
    <w:p w14:paraId="4C12D82F">
      <w:pPr>
        <w:pStyle w:val="10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.1</w:t>
      </w:r>
      <w:r>
        <w:rPr>
          <w:rFonts w:hint="eastAsia" w:ascii="宋体" w:hAnsi="宋体" w:eastAsia="宋体" w:cs="宋体"/>
          <w:sz w:val="24"/>
          <w:szCs w:val="24"/>
        </w:rPr>
        <w:t>成交人如果不按规定与采购人签订合同或者签订合同后不履行其投标承诺或者其它由于成交人自身原因造成无法履行合同的，均视为成交人违约，采购人将取消其成交资格，如果已经签订合同的则合同自动解除，且成交人还要承担相应的法律责任。给采购人造成损失的，还必须进行赔偿。</w:t>
      </w:r>
    </w:p>
    <w:p w14:paraId="133642AD">
      <w:pPr>
        <w:pStyle w:val="10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成交人不得转包，一经发现，采购人有权终止合同。</w:t>
      </w:r>
    </w:p>
    <w:p w14:paraId="76A070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9897FFE">
      <w:pPr>
        <w:pStyle w:val="31"/>
        <w:ind w:left="0" w:leftChars="0" w:firstLine="0" w:firstLineChars="0"/>
        <w:rPr>
          <w:rFonts w:hint="eastAsia"/>
        </w:rPr>
        <w:sectPr>
          <w:headerReference r:id="rId6" w:type="first"/>
          <w:footerReference r:id="rId8" w:type="first"/>
          <w:headerReference r:id="rId5" w:type="default"/>
          <w:footerReference r:id="rId7" w:type="default"/>
          <w:pgSz w:w="11907" w:h="16840"/>
          <w:pgMar w:top="1134" w:right="1134" w:bottom="1134" w:left="1134" w:header="680" w:footer="680" w:gutter="0"/>
          <w:pgNumType w:fmt="decimal"/>
          <w:cols w:space="720" w:num="1"/>
          <w:titlePg/>
          <w:docGrid w:type="lines" w:linePitch="312" w:charSpace="0"/>
        </w:sectPr>
      </w:pPr>
    </w:p>
    <w:bookmarkEnd w:id="19"/>
    <w:p w14:paraId="3E9EA865">
      <w:pPr>
        <w:keepNext w:val="0"/>
        <w:keepLines w:val="0"/>
        <w:pageBreakBefore w:val="0"/>
        <w:numPr>
          <w:ilvl w:val="0"/>
          <w:numId w:val="6"/>
        </w:numPr>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采购合同</w:t>
      </w:r>
    </w:p>
    <w:p w14:paraId="3C74E13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参考</w:t>
      </w:r>
      <w:r>
        <w:rPr>
          <w:rFonts w:hint="eastAsia" w:ascii="宋体" w:hAnsi="宋体" w:eastAsia="宋体" w:cs="宋体"/>
          <w:b/>
          <w:kern w:val="0"/>
          <w:sz w:val="24"/>
          <w:szCs w:val="24"/>
          <w:lang w:val="en-US" w:eastAsia="zh-CN"/>
        </w:rPr>
        <w:t>文本</w:t>
      </w:r>
      <w:r>
        <w:rPr>
          <w:rFonts w:hint="eastAsia" w:ascii="宋体" w:hAnsi="宋体" w:eastAsia="宋体" w:cs="宋体"/>
          <w:b/>
          <w:kern w:val="0"/>
          <w:sz w:val="24"/>
          <w:szCs w:val="24"/>
          <w:lang w:eastAsia="zh-CN"/>
        </w:rPr>
        <w:t>）</w:t>
      </w:r>
    </w:p>
    <w:p w14:paraId="5DDE481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宋体" w:hAnsi="宋体" w:eastAsia="宋体" w:cs="宋体"/>
          <w:b/>
          <w:kern w:val="0"/>
          <w:sz w:val="24"/>
          <w:szCs w:val="24"/>
          <w:lang w:eastAsia="zh-CN"/>
        </w:rPr>
      </w:pPr>
    </w:p>
    <w:p w14:paraId="793B0059">
      <w:pPr>
        <w:keepNext w:val="0"/>
        <w:keepLines w:val="0"/>
        <w:pageBreakBefore w:val="0"/>
        <w:widowControl w:val="0"/>
        <w:kinsoku/>
        <w:wordWrap/>
        <w:overflowPunct/>
        <w:autoSpaceDE/>
        <w:autoSpaceDN/>
        <w:bidi w:val="0"/>
        <w:adjustRightInd/>
        <w:snapToGrid/>
        <w:spacing w:line="420" w:lineRule="exact"/>
        <w:ind w:left="0" w:leftChars="0" w:firstLine="422" w:firstLineChars="175"/>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b/>
          <w:sz w:val="24"/>
          <w:szCs w:val="24"/>
          <w:highlight w:val="none"/>
          <w:lang w:val="en-US" w:eastAsia="zh-CN"/>
        </w:rPr>
        <w:t>招标人</w:t>
      </w:r>
      <w:r>
        <w:rPr>
          <w:rFonts w:hint="eastAsia" w:ascii="宋体" w:hAnsi="宋体" w:eastAsia="宋体" w:cs="宋体"/>
          <w:b/>
          <w:sz w:val="24"/>
          <w:szCs w:val="24"/>
          <w:highlight w:val="none"/>
        </w:rPr>
        <w:t xml:space="preserve">):  </w:t>
      </w:r>
      <w:r>
        <w:rPr>
          <w:rFonts w:hint="eastAsia" w:ascii="宋体" w:hAnsi="宋体" w:cs="宋体"/>
          <w:b/>
          <w:sz w:val="24"/>
          <w:szCs w:val="24"/>
          <w:highlight w:val="none"/>
          <w:lang w:val="en-US" w:eastAsia="zh-CN"/>
        </w:rPr>
        <w:t>南平武夷文旅研究院有限公司</w:t>
      </w:r>
      <w:r>
        <w:rPr>
          <w:rFonts w:hint="eastAsia" w:ascii="宋体" w:hAnsi="宋体" w:eastAsia="宋体" w:cs="宋体"/>
          <w:b/>
          <w:sz w:val="24"/>
          <w:szCs w:val="24"/>
          <w:highlight w:val="none"/>
        </w:rPr>
        <w:t xml:space="preserve">                       </w:t>
      </w:r>
    </w:p>
    <w:p w14:paraId="305CD9B6">
      <w:pPr>
        <w:keepNext w:val="0"/>
        <w:keepLines w:val="0"/>
        <w:pageBreakBefore w:val="0"/>
        <w:widowControl w:val="0"/>
        <w:kinsoku/>
        <w:wordWrap/>
        <w:overflowPunct/>
        <w:autoSpaceDE/>
        <w:autoSpaceDN/>
        <w:bidi w:val="0"/>
        <w:adjustRightInd/>
        <w:snapToGrid/>
        <w:spacing w:line="420" w:lineRule="exact"/>
        <w:ind w:left="0" w:leftChars="0" w:firstLine="422" w:firstLineChars="175"/>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b/>
          <w:sz w:val="24"/>
          <w:szCs w:val="24"/>
          <w:highlight w:val="none"/>
          <w:u w:val="none"/>
        </w:rPr>
        <w:t>(中标人):</w:t>
      </w:r>
      <w:r>
        <w:rPr>
          <w:rFonts w:hint="eastAsia" w:ascii="宋体" w:hAnsi="宋体" w:eastAsia="宋体" w:cs="宋体"/>
          <w:b/>
          <w:sz w:val="24"/>
          <w:szCs w:val="24"/>
          <w:highlight w:val="none"/>
        </w:rPr>
        <w:t xml:space="preserve">                        </w:t>
      </w:r>
    </w:p>
    <w:p w14:paraId="7D060E99">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rPr>
        <w:t>根据《中华人民共和国民法典》等有关法律、法规规定，甲乙双方按照</w:t>
      </w:r>
      <w:r>
        <w:rPr>
          <w:rFonts w:hint="eastAsia" w:ascii="宋体" w:hAnsi="宋体" w:eastAsia="宋体" w:cs="宋体"/>
          <w:color w:val="auto"/>
          <w:kern w:val="0"/>
          <w:sz w:val="24"/>
          <w:szCs w:val="24"/>
          <w:u w:val="single"/>
          <w:lang w:eastAsia="zh-CN"/>
        </w:rPr>
        <w:t>福建鼎御招标有限公司</w:t>
      </w:r>
      <w:r>
        <w:rPr>
          <w:rFonts w:hint="eastAsia" w:ascii="宋体" w:hAnsi="宋体" w:eastAsia="宋体" w:cs="宋体"/>
          <w:color w:val="auto"/>
          <w:kern w:val="0"/>
          <w:sz w:val="24"/>
          <w:szCs w:val="24"/>
          <w:u w:val="single"/>
        </w:rPr>
        <w:t>组织的</w:t>
      </w:r>
      <w:r>
        <w:rPr>
          <w:rFonts w:hint="eastAsia" w:ascii="宋体" w:hAnsi="宋体" w:eastAsia="宋体" w:cs="宋体"/>
          <w:color w:val="auto"/>
          <w:sz w:val="24"/>
          <w:szCs w:val="24"/>
          <w:highlight w:val="none"/>
          <w:u w:val="single"/>
          <w:lang w:val="en-US" w:eastAsia="zh-CN"/>
        </w:rPr>
        <w:t>南平市铁路旅游主题列车改造项目（项目</w:t>
      </w:r>
      <w:r>
        <w:rPr>
          <w:rFonts w:hint="eastAsia" w:ascii="宋体" w:hAnsi="宋体" w:cs="宋体"/>
          <w:color w:val="auto"/>
          <w:sz w:val="24"/>
          <w:szCs w:val="24"/>
          <w:highlight w:val="none"/>
          <w:u w:val="single"/>
          <w:lang w:eastAsia="zh-CN"/>
        </w:rPr>
        <w:t>DYZB[GK]202601-02</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kern w:val="0"/>
          <w:sz w:val="24"/>
          <w:szCs w:val="24"/>
        </w:rPr>
        <w:t>中标结果、采购文件及投标文件的要求经双方协商一致，签订本合同。</w:t>
      </w:r>
    </w:p>
    <w:p w14:paraId="05CCC3B9">
      <w:pPr>
        <w:keepNext w:val="0"/>
        <w:keepLines w:val="0"/>
        <w:pageBreakBefore w:val="0"/>
        <w:widowControl w:val="0"/>
        <w:kinsoku/>
        <w:wordWrap/>
        <w:overflowPunct/>
        <w:topLinePunct/>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一、下列文件是构成本合同不可分割的部分</w:t>
      </w:r>
    </w:p>
    <w:p w14:paraId="7F78AC0A">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合同及所附条款</w:t>
      </w:r>
    </w:p>
    <w:p w14:paraId="34EA4B10">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中标通知书</w:t>
      </w:r>
    </w:p>
    <w:p w14:paraId="2954BDED">
      <w:pPr>
        <w:keepNext w:val="0"/>
        <w:keepLines w:val="0"/>
        <w:pageBreakBefore w:val="0"/>
        <w:widowControl/>
        <w:kinsoku/>
        <w:wordWrap/>
        <w:overflowPunct/>
        <w:autoSpaceDE/>
        <w:autoSpaceDN/>
        <w:bidi w:val="0"/>
        <w:adjustRightInd/>
        <w:snapToGrid w:val="0"/>
        <w:spacing w:line="400" w:lineRule="exact"/>
        <w:ind w:firstLine="240" w:firstLineChars="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乙方中标的投标书及投标过程中所作的其它有关承诺、声明、书面澄清等。　　　　　　　　　</w:t>
      </w:r>
    </w:p>
    <w:p w14:paraId="10384464">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第二条 产品规格、数量、单价及金额</w:t>
      </w:r>
    </w:p>
    <w:p w14:paraId="20A616DD">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1.所需产品详见合同附件。</w:t>
      </w:r>
    </w:p>
    <w:p w14:paraId="3C1F1700">
      <w:pPr>
        <w:pStyle w:val="109"/>
        <w:keepNext w:val="0"/>
        <w:keepLines w:val="0"/>
        <w:pageBreakBefore w:val="0"/>
        <w:kinsoku/>
        <w:wordWrap/>
        <w:overflowPunct/>
        <w:autoSpaceDE/>
        <w:autoSpaceDN/>
        <w:bidi w:val="0"/>
        <w:adjustRightInd/>
        <w:spacing w:after="0" w:line="400" w:lineRule="exact"/>
        <w:ind w:firstLine="481"/>
        <w:textAlignment w:val="auto"/>
        <w:rPr>
          <w:rFonts w:hint="eastAsia" w:ascii="宋体" w:hAnsi="宋体" w:eastAsia="宋体" w:cs="宋体"/>
          <w:color w:val="auto"/>
          <w:kern w:val="0"/>
          <w:sz w:val="24"/>
          <w:szCs w:val="24"/>
          <w:highlight w:val="green"/>
        </w:rPr>
      </w:pPr>
      <w:r>
        <w:rPr>
          <w:rFonts w:hint="eastAsia" w:ascii="宋体" w:hAnsi="宋体" w:eastAsia="宋体" w:cs="宋体"/>
          <w:color w:val="auto"/>
          <w:kern w:val="0"/>
          <w:sz w:val="24"/>
          <w:szCs w:val="24"/>
        </w:rPr>
        <w:t>2.合同金额总计：人民币大写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。包含招标文件规定的货物；标准附件；备品备件；专用工具；安装、调试、检验；技</w:t>
      </w:r>
      <w:r>
        <w:rPr>
          <w:rFonts w:hint="eastAsia" w:ascii="宋体" w:hAnsi="宋体" w:eastAsia="宋体" w:cs="宋体"/>
          <w:color w:val="auto"/>
          <w:kern w:val="0"/>
          <w:sz w:val="24"/>
          <w:szCs w:val="24"/>
          <w:highlight w:val="none"/>
        </w:rPr>
        <w:t>术服务等相关费用。</w:t>
      </w:r>
    </w:p>
    <w:p w14:paraId="7CA5E089">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3.甲方如需其它型号规格材料按附表报价执行。</w:t>
      </w:r>
    </w:p>
    <w:p w14:paraId="4275155B">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第三条 产品质量标准及技术要求</w:t>
      </w:r>
    </w:p>
    <w:p w14:paraId="70DE96E0">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1.乙方向甲方提供产品时，必须提供该批产品的送检报告，甲方根据质检部门的送检报告予以验货收货。</w:t>
      </w:r>
    </w:p>
    <w:p w14:paraId="65AFF60B">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2.乙方应按采购文件规定的货物性能、技术要求、质量标准向甲方提供以正规渠道采购且未经使用的全新产品。</w:t>
      </w:r>
    </w:p>
    <w:p w14:paraId="0A65FBC9">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乙方应保证甲方在使用该货物或其任何一部分时不受第三方提出侵犯其专利权、商标权和设计权的起诉。如果任何第三方提出侵权指控或赔偿要求，乙方必须与第三方交涉，并承担发生和可能发生的一切损失、费用和法律责任。</w:t>
      </w:r>
    </w:p>
    <w:p w14:paraId="50C1115F">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4.乙方提供的货物在质保期内因货物本身的质量问题发生故障，乙方应负责免费更换。对达不到技术要求者，根据实际情况，经双方协商，可按以下办法处理：</w:t>
      </w:r>
    </w:p>
    <w:p w14:paraId="1504969F">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⑴更换：由乙方承担所发生的全部费用。</w:t>
      </w:r>
    </w:p>
    <w:p w14:paraId="381019AF">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⑵贬值处理：由甲乙双方协商一致定价，乙方向甲方退还贬值部分的费用。</w:t>
      </w:r>
    </w:p>
    <w:p w14:paraId="73AB8822">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⑶退货处理：乙方应退还甲方支付的合同款，同时应承担该货物的直接费用（运输、保险、检验等）。</w:t>
      </w:r>
    </w:p>
    <w:p w14:paraId="66D4DEFB">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5.如在使用过程中发生质量问题，乙方在接到甲方通知后在2小时内到达甲方现场。</w:t>
      </w:r>
    </w:p>
    <w:p w14:paraId="13CA3A55">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6.在质保期内，乙方应对货物出现的质量问题负责处理解决并承担一切费用。</w:t>
      </w:r>
    </w:p>
    <w:p w14:paraId="3EF4920B">
      <w:pPr>
        <w:keepNext w:val="0"/>
        <w:keepLines w:val="0"/>
        <w:pageBreakBefore w:val="0"/>
        <w:widowControl/>
        <w:kinsoku/>
        <w:wordWrap/>
        <w:overflowPunct/>
        <w:autoSpaceDE/>
        <w:autoSpaceDN/>
        <w:bidi w:val="0"/>
        <w:adjustRightInd/>
        <w:snapToGrid w:val="0"/>
        <w:spacing w:line="400" w:lineRule="exact"/>
        <w:ind w:firstLine="480"/>
        <w:jc w:val="left"/>
        <w:textAlignment w:val="auto"/>
        <w:rPr>
          <w:rFonts w:hint="eastAsia" w:ascii="宋体" w:hAnsi="宋体" w:eastAsia="宋体" w:cs="宋体"/>
          <w:color w:val="auto"/>
          <w:kern w:val="0"/>
          <w:sz w:val="24"/>
          <w:szCs w:val="24"/>
        </w:rPr>
        <w:sectPr>
          <w:footerReference r:id="rId9" w:type="default"/>
          <w:pgSz w:w="11906" w:h="16838"/>
          <w:pgMar w:top="1242" w:right="1485" w:bottom="1440" w:left="1803" w:header="851" w:footer="992" w:gutter="0"/>
          <w:pgNumType w:fmt="numberInDash"/>
          <w:cols w:space="0" w:num="1"/>
          <w:rtlGutter w:val="0"/>
          <w:docGrid w:type="lines" w:linePitch="319" w:charSpace="0"/>
        </w:sectPr>
      </w:pPr>
    </w:p>
    <w:p w14:paraId="4019BE91">
      <w:pPr>
        <w:keepNext w:val="0"/>
        <w:keepLines w:val="0"/>
        <w:pageBreakBefore w:val="0"/>
        <w:widowControl/>
        <w:kinsoku/>
        <w:wordWrap/>
        <w:overflowPunct/>
        <w:autoSpaceDE/>
        <w:autoSpaceDN/>
        <w:bidi w:val="0"/>
        <w:adjustRightInd/>
        <w:snapToGrid w:val="0"/>
        <w:spacing w:line="400" w:lineRule="exact"/>
        <w:ind w:firstLine="48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lang w:eastAsia="zh-CN"/>
        </w:rPr>
        <w:t>质保期自客车竣工、客车经相关验收合格返段之日起计，铁路设施设备的质量保修期参照国家和国铁集团现行政策、标准及有关规定执行，非铁路设施设备的质量保修期不得少于2年，非铁路设施设备的质量保修期低于2年的，按2年执行;非铁路设施设备的质量保修期高于2年的，按其本身质保期执行。</w:t>
      </w:r>
    </w:p>
    <w:p w14:paraId="70BCAB6E">
      <w:pPr>
        <w:keepNext w:val="0"/>
        <w:keepLines w:val="0"/>
        <w:pageBreakBefore w:val="0"/>
        <w:widowControl/>
        <w:kinsoku/>
        <w:wordWrap/>
        <w:overflowPunct/>
        <w:autoSpaceDE/>
        <w:autoSpaceDN/>
        <w:bidi w:val="0"/>
        <w:adjustRightInd/>
        <w:snapToGrid w:val="0"/>
        <w:spacing w:line="40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第四条 产品标志，包装及运输</w:t>
      </w:r>
    </w:p>
    <w:p w14:paraId="79E558B6">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1.乙方应对产品的名称、商标、规格及生产日期进行明确标志。</w:t>
      </w:r>
    </w:p>
    <w:p w14:paraId="07B1CC18">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2.乙方应对产品运输过程中采取适宜措施进行保护，防止产品暴晒、玷污、抛摔等损伤。产品在运输过程中丢失、毁损的风险由乙方承担。</w:t>
      </w:r>
    </w:p>
    <w:p w14:paraId="5DB505BB">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第五条 产品交付</w:t>
      </w:r>
    </w:p>
    <w:p w14:paraId="6D915BE1">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1.甲方应提前7日将所需货物的规格、数量等具体内容通知乙方，交付地点由甲方指定。</w:t>
      </w:r>
    </w:p>
    <w:p w14:paraId="62ACB38E">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2.乙方应于交货日2日之前，将合同货物的规格、数量等具体内容通知甲方，以便甲方做好接货准备。</w:t>
      </w:r>
    </w:p>
    <w:p w14:paraId="44B6D8D1">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第六条 产品验收</w:t>
      </w:r>
    </w:p>
    <w:p w14:paraId="2AECFD73">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1.乙方向甲方提供详细的供货清单，当货物到达甲方指定的安装现场后，甲方和乙方依据供货清单共同对货物进行检验，对货物的数量、质量等进行逐项检查并签字确认。</w:t>
      </w:r>
    </w:p>
    <w:p w14:paraId="610DDC4A">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如果检验时，发现货物数量不足、规格与合同要求不符或货物短缺或损伤，乙方应及时补足或更换，并在7日内送达甲方指定地点，相关费用由乙方承担。同时，乙方保证向甲方提供的技术资料清晰、正确和完整。</w:t>
      </w:r>
    </w:p>
    <w:p w14:paraId="2F105959">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3.在双方验收后30日内，如果甲方发现货物内在的损坏，或者货物的质量与合同规定不符，或者在货物质保期内证实货物是有缺陷的（包括潜在的缺陷或使用不符合要求的材料等），甲方有权要求乙方免费更换有缺陷的货物或部件。甲方应在7日内以书面形式通知乙方，乙方应在收到甲方通知后5日内免费更换有缺陷的货物或部件，相关费用由乙方承担。</w:t>
      </w:r>
    </w:p>
    <w:p w14:paraId="52332883">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4.对技术复杂的货物，甲方可请国家认可的专业检测机构参与初步验收及最终验收，并由其出具质量检测报告。</w:t>
      </w:r>
    </w:p>
    <w:p w14:paraId="56521859">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5.乙方需提供产品质量检验证明，产品合格证及相关部门颁发的出厂证明文件。</w:t>
      </w:r>
    </w:p>
    <w:p w14:paraId="0D86905D">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　　6.所有货物由乙方负责安装施工，安全责任由乙方自行负责，乙方应在施工现场做好相关的安全措施，确</w:t>
      </w:r>
      <w:r>
        <w:rPr>
          <w:rFonts w:hint="eastAsia" w:ascii="宋体" w:hAnsi="宋体" w:eastAsia="宋体" w:cs="宋体"/>
          <w:color w:val="auto"/>
          <w:kern w:val="0"/>
          <w:sz w:val="24"/>
          <w:szCs w:val="24"/>
          <w:highlight w:val="none"/>
        </w:rPr>
        <w:t>保在施工安全。</w:t>
      </w:r>
    </w:p>
    <w:p w14:paraId="2570626C">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第七条 付款方式</w:t>
      </w:r>
    </w:p>
    <w:p w14:paraId="6B3383C5">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后30日内甲方向乙方支付合同金额的30%；车辆完工验收合格返段后6个月后15日内，甲方需支付合同金额的70%；尾款的支付并不表示乙方质保责任的结束，乙方仍须按照合同条款约定的质保期继续履行质保责任。</w:t>
      </w:r>
    </w:p>
    <w:p w14:paraId="0F3EB886">
      <w:pPr>
        <w:keepNext w:val="0"/>
        <w:keepLines w:val="0"/>
        <w:pageBreakBefore w:val="0"/>
        <w:widowControl/>
        <w:kinsoku/>
        <w:wordWrap/>
        <w:overflowPunct/>
        <w:autoSpaceDE/>
        <w:autoSpaceDN/>
        <w:bidi w:val="0"/>
        <w:adjustRightInd/>
        <w:snapToGrid w:val="0"/>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 违约责任</w:t>
      </w:r>
    </w:p>
    <w:p w14:paraId="0676CD93">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1.乙方提供的产品名称、商标及规格型号不符合本合同约定的，全部退货，乙方还应承担因退货给甲方造成的损失。</w:t>
      </w:r>
    </w:p>
    <w:p w14:paraId="54CD397C">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2.乙方未按照本合同第五条约定的交货地点按时交货，视为未交货。乙方延迟交货的，每延迟交货一天应承担该批次货款总值0.2%的违约金，并承担继续履行责任。</w:t>
      </w:r>
    </w:p>
    <w:p w14:paraId="5C4B3241">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3.乙方交货的数量超过本合同约定的金额的10%以内，甲方按照本合同约定的单价予以接收。乙方交货数量不足，影响甲方使用的，应承担该批次货款5%的违约金。</w:t>
      </w:r>
    </w:p>
    <w:p w14:paraId="4FC18EAD">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4.乙方产品质量违约，按照合同第三条的约定承担责任。</w:t>
      </w:r>
    </w:p>
    <w:p w14:paraId="2BDF69DA">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5.乙方违反本合同的约定，致甲方合同目的无法实现的，甲方可单方面解除合同。乙方还应承担因解除合同给甲方造成的全部损失。</w:t>
      </w:r>
    </w:p>
    <w:p w14:paraId="20D26604">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6、任何一方违反合同条款，本合同有明确约定的，按该约定处理：没有约定的均按《中华人民共和国民法典》有关规定承担责任。</w:t>
      </w:r>
    </w:p>
    <w:p w14:paraId="74BB0EC4">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第九条 不可抗力：甲乙双方任何一方由于地震、水灾、罢工等不可抗力的原因履行合同时，应及时向对方通报不能履行或不能完全履行的理由，以减轻可能给对方造成的损失，在取得有关机构的证明后，允许延期履行、部分履行或不履行合同，并根据情况可部分或全部免予承担责任。</w:t>
      </w:r>
    </w:p>
    <w:p w14:paraId="14D2DB96">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第十条 合同争议：甲乙双方发生纠纷时，应着眼全局，协商解决。协商不成时，可直接向甲方所在地有管辖权的人民法院起诉。</w:t>
      </w:r>
    </w:p>
    <w:p w14:paraId="50B3CE6F">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第十一条 合同生效：本合同自双方签字盖章之日起生效，壹式陆份，甲方肆份,乙方贰份，均具有同等的法律效力。</w:t>
      </w:r>
    </w:p>
    <w:p w14:paraId="3FDF329A">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p>
    <w:p w14:paraId="2785EFF5">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p>
    <w:p w14:paraId="58819FB7">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w:t>
      </w:r>
      <w:r>
        <w:rPr>
          <w:rFonts w:hint="eastAsia" w:ascii="宋体" w:hAnsi="宋体" w:eastAsia="宋体" w:cs="宋体"/>
          <w:color w:val="auto"/>
          <w:kern w:val="0"/>
          <w:sz w:val="24"/>
          <w:szCs w:val="24"/>
          <w:lang w:eastAsia="zh-CN"/>
        </w:rPr>
        <w:t>南平武夷文旅研究院有限公司</w:t>
      </w:r>
      <w:r>
        <w:rPr>
          <w:rFonts w:hint="eastAsia" w:ascii="宋体" w:hAnsi="宋体" w:eastAsia="宋体" w:cs="宋体"/>
          <w:color w:val="auto"/>
          <w:kern w:val="0"/>
          <w:sz w:val="24"/>
          <w:szCs w:val="24"/>
        </w:rPr>
        <w:t xml:space="preserve">       乙方：</w:t>
      </w:r>
    </w:p>
    <w:p w14:paraId="4B88D7D8">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委托人：                               委托人：</w:t>
      </w:r>
    </w:p>
    <w:p w14:paraId="73DCCBB8">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开户行                           　　　开户行：</w:t>
      </w:r>
    </w:p>
    <w:p w14:paraId="3E5C49F2">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                                 账号：</w:t>
      </w:r>
    </w:p>
    <w:p w14:paraId="76F9D6B9">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                                 电话：</w:t>
      </w:r>
    </w:p>
    <w:p w14:paraId="723397D2">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税号：　　     　                      税号：</w:t>
      </w:r>
    </w:p>
    <w:p w14:paraId="23172286">
      <w:pPr>
        <w:keepNext w:val="0"/>
        <w:keepLines w:val="0"/>
        <w:pageBreakBefore w:val="0"/>
        <w:widowControl/>
        <w:kinsoku/>
        <w:wordWrap/>
        <w:overflowPunct/>
        <w:autoSpaceDE/>
        <w:autoSpaceDN/>
        <w:bidi w:val="0"/>
        <w:adjustRightInd/>
        <w:snapToGrid w:val="0"/>
        <w:spacing w:line="40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签订日期：   年   月   日       　     签订日期：   年   月   日</w:t>
      </w:r>
    </w:p>
    <w:p w14:paraId="3F75A183">
      <w:pPr>
        <w:widowControl/>
        <w:spacing w:line="360" w:lineRule="auto"/>
        <w:ind w:firstLine="1687" w:firstLineChars="200"/>
        <w:outlineLvl w:val="0"/>
        <w:rPr>
          <w:rFonts w:hint="eastAsia" w:ascii="宋体" w:hAnsi="宋体" w:eastAsia="宋体" w:cs="宋体"/>
          <w:b/>
          <w:kern w:val="0"/>
          <w:sz w:val="84"/>
          <w:szCs w:val="84"/>
        </w:rPr>
        <w:sectPr>
          <w:footerReference r:id="rId10" w:type="default"/>
          <w:pgSz w:w="11906" w:h="16838"/>
          <w:pgMar w:top="1242" w:right="1485" w:bottom="1440" w:left="1803" w:header="851" w:footer="992" w:gutter="0"/>
          <w:pgNumType w:fmt="numberInDash"/>
          <w:cols w:space="0" w:num="1"/>
          <w:rtlGutter w:val="0"/>
          <w:docGrid w:type="lines" w:linePitch="319" w:charSpace="0"/>
        </w:sectPr>
      </w:pPr>
    </w:p>
    <w:p w14:paraId="5E6F286E">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第五章  投标文件格式</w:t>
      </w:r>
    </w:p>
    <w:p w14:paraId="3AD3E965">
      <w:pPr>
        <w:rPr>
          <w:rFonts w:hint="eastAsia" w:asciiTheme="minorEastAsia" w:hAnsiTheme="minorEastAsia" w:eastAsiaTheme="minorEastAsia" w:cstheme="minorEastAsia"/>
          <w:color w:val="auto"/>
          <w:sz w:val="24"/>
          <w:highlight w:val="none"/>
        </w:rPr>
      </w:pPr>
    </w:p>
    <w:p w14:paraId="253CBF25">
      <w:pPr>
        <w:rPr>
          <w:rFonts w:hint="eastAsia" w:asciiTheme="minorEastAsia" w:hAnsiTheme="minorEastAsia" w:eastAsiaTheme="minorEastAsia" w:cstheme="minorEastAsia"/>
          <w:color w:val="auto"/>
          <w:sz w:val="24"/>
          <w:highlight w:val="none"/>
        </w:rPr>
      </w:pPr>
    </w:p>
    <w:p w14:paraId="7303721C">
      <w:pPr>
        <w:pStyle w:val="14"/>
        <w:spacing w:line="360" w:lineRule="auto"/>
        <w:rPr>
          <w:rFonts w:hint="eastAsia" w:asciiTheme="minorEastAsia" w:hAnsiTheme="minorEastAsia" w:eastAsiaTheme="minorEastAsia" w:cstheme="minorEastAsia"/>
          <w:b/>
          <w:color w:val="auto"/>
          <w:szCs w:val="30"/>
          <w:highlight w:val="none"/>
          <w:shd w:val="clear" w:color="auto" w:fill="auto"/>
        </w:rPr>
      </w:pPr>
      <w:r>
        <w:rPr>
          <w:rFonts w:hint="eastAsia" w:asciiTheme="minorEastAsia" w:hAnsiTheme="minorEastAsia" w:eastAsiaTheme="minorEastAsia" w:cstheme="minorEastAsia"/>
          <w:b/>
          <w:color w:val="auto"/>
          <w:szCs w:val="30"/>
          <w:highlight w:val="none"/>
          <w:shd w:val="clear" w:color="auto" w:fill="auto"/>
        </w:rPr>
        <w:t>注:1、本附件格式分第一册“资格及资信证明部分格式”、第二册“技术商务部分格式”和第三册“报价部分格式”三册,装订时要求第一册、第二册、第三册均须单独装订。</w:t>
      </w:r>
    </w:p>
    <w:p w14:paraId="68DCBF5D">
      <w:pPr>
        <w:pStyle w:val="14"/>
        <w:spacing w:line="360" w:lineRule="auto"/>
        <w:rPr>
          <w:rFonts w:hint="eastAsia" w:asciiTheme="minorEastAsia" w:hAnsiTheme="minorEastAsia" w:eastAsiaTheme="minorEastAsia" w:cstheme="minorEastAsia"/>
          <w:b/>
          <w:color w:val="auto"/>
          <w:szCs w:val="30"/>
          <w:highlight w:val="none"/>
          <w:shd w:val="clear" w:color="auto" w:fill="auto"/>
        </w:rPr>
      </w:pPr>
      <w:r>
        <w:rPr>
          <w:rFonts w:hint="eastAsia" w:asciiTheme="minorEastAsia" w:hAnsiTheme="minorEastAsia" w:eastAsiaTheme="minorEastAsia" w:cstheme="minorEastAsia"/>
          <w:b/>
          <w:color w:val="auto"/>
          <w:szCs w:val="30"/>
          <w:highlight w:val="none"/>
          <w:shd w:val="clear" w:color="auto" w:fill="auto"/>
        </w:rPr>
        <w:t>2、附件格式仅供制作投标文件时参考,投标人应根据行业特点,结合本次招标技术规格要求,对有关表格进行补充或修改,但不得对实质性文件的相关条款作出变动。</w:t>
      </w:r>
    </w:p>
    <w:p w14:paraId="29F75500">
      <w:pPr>
        <w:pStyle w:val="14"/>
        <w:spacing w:line="360" w:lineRule="auto"/>
        <w:rPr>
          <w:rFonts w:hint="eastAsia" w:asciiTheme="minorEastAsia" w:hAnsiTheme="minorEastAsia" w:eastAsiaTheme="minorEastAsia" w:cstheme="minorEastAsia"/>
          <w:b/>
          <w:color w:val="auto"/>
          <w:szCs w:val="30"/>
          <w:highlight w:val="none"/>
        </w:rPr>
      </w:pPr>
    </w:p>
    <w:p w14:paraId="45146142">
      <w:pPr>
        <w:rPr>
          <w:rFonts w:hint="eastAsia" w:asciiTheme="minorEastAsia" w:hAnsiTheme="minorEastAsia" w:eastAsiaTheme="minorEastAsia" w:cstheme="minorEastAsia"/>
          <w:color w:val="auto"/>
          <w:sz w:val="24"/>
          <w:highlight w:val="none"/>
        </w:rPr>
      </w:pPr>
    </w:p>
    <w:p w14:paraId="03172012">
      <w:pPr>
        <w:rPr>
          <w:rFonts w:hint="eastAsia" w:asciiTheme="minorEastAsia" w:hAnsiTheme="minorEastAsia" w:eastAsiaTheme="minorEastAsia" w:cstheme="minorEastAsia"/>
          <w:color w:val="auto"/>
          <w:sz w:val="24"/>
          <w:highlight w:val="none"/>
        </w:rPr>
      </w:pPr>
    </w:p>
    <w:p w14:paraId="248AC910">
      <w:pPr>
        <w:rPr>
          <w:rFonts w:hint="eastAsia" w:asciiTheme="minorEastAsia" w:hAnsiTheme="minorEastAsia" w:eastAsiaTheme="minorEastAsia" w:cstheme="minorEastAsia"/>
          <w:color w:val="auto"/>
          <w:sz w:val="24"/>
          <w:highlight w:val="none"/>
        </w:rPr>
      </w:pPr>
    </w:p>
    <w:p w14:paraId="0F8600C1">
      <w:pPr>
        <w:spacing w:line="400" w:lineRule="exact"/>
        <w:rPr>
          <w:rFonts w:hint="eastAsia" w:asciiTheme="minorEastAsia" w:hAnsiTheme="minorEastAsia" w:eastAsiaTheme="minorEastAsia" w:cstheme="minorEastAsia"/>
          <w:color w:val="auto"/>
          <w:sz w:val="24"/>
          <w:highlight w:val="none"/>
        </w:rPr>
      </w:pPr>
    </w:p>
    <w:p w14:paraId="25FC4539">
      <w:pPr>
        <w:spacing w:line="400" w:lineRule="exact"/>
        <w:rPr>
          <w:rFonts w:hint="eastAsia" w:asciiTheme="minorEastAsia" w:hAnsiTheme="minorEastAsia" w:eastAsiaTheme="minorEastAsia" w:cstheme="minorEastAsia"/>
          <w:color w:val="auto"/>
          <w:sz w:val="24"/>
          <w:highlight w:val="none"/>
        </w:rPr>
      </w:pPr>
    </w:p>
    <w:p w14:paraId="72300BBE">
      <w:pPr>
        <w:spacing w:line="400" w:lineRule="exact"/>
        <w:rPr>
          <w:rFonts w:hint="eastAsia" w:asciiTheme="minorEastAsia" w:hAnsiTheme="minorEastAsia" w:eastAsiaTheme="minorEastAsia" w:cstheme="minorEastAsia"/>
          <w:color w:val="auto"/>
          <w:sz w:val="24"/>
          <w:highlight w:val="none"/>
        </w:rPr>
      </w:pPr>
    </w:p>
    <w:p w14:paraId="1B5577A7">
      <w:pPr>
        <w:spacing w:line="400" w:lineRule="exact"/>
        <w:rPr>
          <w:rFonts w:hint="eastAsia" w:asciiTheme="minorEastAsia" w:hAnsiTheme="minorEastAsia" w:eastAsiaTheme="minorEastAsia" w:cstheme="minorEastAsia"/>
          <w:color w:val="auto"/>
          <w:sz w:val="24"/>
          <w:highlight w:val="none"/>
        </w:rPr>
      </w:pPr>
    </w:p>
    <w:p w14:paraId="3A25CB9B">
      <w:pPr>
        <w:spacing w:line="400" w:lineRule="exact"/>
        <w:rPr>
          <w:rFonts w:hint="eastAsia" w:asciiTheme="minorEastAsia" w:hAnsiTheme="minorEastAsia" w:eastAsiaTheme="minorEastAsia" w:cstheme="minorEastAsia"/>
          <w:color w:val="auto"/>
          <w:sz w:val="24"/>
          <w:highlight w:val="none"/>
        </w:rPr>
      </w:pPr>
    </w:p>
    <w:p w14:paraId="2DC29F47">
      <w:pPr>
        <w:spacing w:line="400" w:lineRule="exact"/>
        <w:rPr>
          <w:rFonts w:hint="eastAsia" w:asciiTheme="minorEastAsia" w:hAnsiTheme="minorEastAsia" w:eastAsiaTheme="minorEastAsia" w:cstheme="minorEastAsia"/>
          <w:color w:val="auto"/>
          <w:sz w:val="24"/>
          <w:highlight w:val="none"/>
        </w:rPr>
      </w:pPr>
    </w:p>
    <w:p w14:paraId="76A983C3">
      <w:pPr>
        <w:spacing w:line="400" w:lineRule="exact"/>
        <w:rPr>
          <w:rFonts w:hint="eastAsia" w:asciiTheme="minorEastAsia" w:hAnsiTheme="minorEastAsia" w:eastAsiaTheme="minorEastAsia" w:cstheme="minorEastAsia"/>
          <w:color w:val="auto"/>
          <w:sz w:val="24"/>
          <w:highlight w:val="none"/>
        </w:rPr>
      </w:pPr>
    </w:p>
    <w:p w14:paraId="0C1F740F">
      <w:pPr>
        <w:spacing w:line="400" w:lineRule="exact"/>
        <w:rPr>
          <w:rFonts w:hint="eastAsia" w:asciiTheme="minorEastAsia" w:hAnsiTheme="minorEastAsia" w:eastAsiaTheme="minorEastAsia" w:cstheme="minorEastAsia"/>
          <w:color w:val="auto"/>
          <w:sz w:val="24"/>
          <w:highlight w:val="none"/>
        </w:rPr>
      </w:pPr>
    </w:p>
    <w:p w14:paraId="2C9D4C5F">
      <w:pPr>
        <w:spacing w:line="400" w:lineRule="exact"/>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br w:type="page"/>
      </w:r>
    </w:p>
    <w:p w14:paraId="769CCFBE">
      <w:pPr>
        <w:jc w:val="center"/>
        <w:rPr>
          <w:rFonts w:hint="eastAsia" w:asciiTheme="minorEastAsia" w:hAnsiTheme="minorEastAsia" w:eastAsiaTheme="minorEastAsia" w:cstheme="minorEastAsia"/>
          <w:b/>
          <w:bCs/>
          <w:color w:val="auto"/>
          <w:sz w:val="84"/>
          <w:szCs w:val="84"/>
          <w:highlight w:val="none"/>
          <w:lang w:val="en-US" w:eastAsia="zh-CN"/>
        </w:rPr>
      </w:pPr>
    </w:p>
    <w:p w14:paraId="6ACC774F">
      <w:pPr>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货物和服务项目</w:t>
      </w:r>
    </w:p>
    <w:p w14:paraId="7629390F">
      <w:pPr>
        <w:pStyle w:val="15"/>
        <w:spacing w:line="360" w:lineRule="auto"/>
        <w:ind w:firstLine="0"/>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投  标  文  件</w:t>
      </w:r>
    </w:p>
    <w:p w14:paraId="1A134F16">
      <w:pPr>
        <w:pStyle w:val="15"/>
        <w:spacing w:line="360" w:lineRule="auto"/>
        <w:ind w:firstLine="0"/>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第一册 资格及资信证明部分</w:t>
      </w:r>
    </w:p>
    <w:p w14:paraId="234FA2E5">
      <w:pPr>
        <w:pStyle w:val="15"/>
        <w:ind w:firstLine="0"/>
        <w:jc w:val="center"/>
        <w:rPr>
          <w:rFonts w:hint="eastAsia" w:asciiTheme="minorEastAsia" w:hAnsiTheme="minorEastAsia" w:eastAsiaTheme="minorEastAsia" w:cstheme="minorEastAsia"/>
          <w:color w:val="auto"/>
          <w:highlight w:val="none"/>
        </w:rPr>
      </w:pPr>
    </w:p>
    <w:p w14:paraId="50814C24">
      <w:pPr>
        <w:pStyle w:val="15"/>
        <w:ind w:firstLine="0"/>
        <w:jc w:val="center"/>
        <w:rPr>
          <w:rFonts w:hint="eastAsia" w:asciiTheme="minorEastAsia" w:hAnsiTheme="minorEastAsia" w:eastAsiaTheme="minorEastAsia" w:cstheme="minorEastAsia"/>
          <w:color w:val="auto"/>
          <w:highlight w:val="none"/>
        </w:rPr>
      </w:pPr>
    </w:p>
    <w:p w14:paraId="215092BB">
      <w:pPr>
        <w:pStyle w:val="17"/>
        <w:spacing w:line="700" w:lineRule="exact"/>
        <w:ind w:firstLine="1269" w:firstLineChars="395"/>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招标编号</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u w:val="single"/>
        </w:rPr>
        <w:t xml:space="preserve">       </w:t>
      </w:r>
    </w:p>
    <w:p w14:paraId="4CD1D30B">
      <w:pPr>
        <w:ind w:firstLine="1275" w:firstLineChars="3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项目名称</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u w:val="single"/>
        </w:rPr>
        <w:t xml:space="preserve">                      </w:t>
      </w:r>
    </w:p>
    <w:p w14:paraId="52EBBDAA">
      <w:pPr>
        <w:pStyle w:val="17"/>
        <w:spacing w:line="0" w:lineRule="atLeast"/>
        <w:ind w:firstLine="1269" w:firstLineChars="395"/>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合 同 包</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u w:val="single"/>
        </w:rPr>
        <w:t xml:space="preserve">                      </w:t>
      </w:r>
    </w:p>
    <w:p w14:paraId="6B643939">
      <w:pPr>
        <w:pStyle w:val="17"/>
        <w:spacing w:line="0" w:lineRule="atLeast"/>
        <w:jc w:val="center"/>
        <w:rPr>
          <w:rFonts w:hint="eastAsia" w:asciiTheme="minorEastAsia" w:hAnsiTheme="minorEastAsia" w:eastAsiaTheme="minorEastAsia" w:cstheme="minorEastAsia"/>
          <w:b/>
          <w:color w:val="auto"/>
          <w:sz w:val="32"/>
          <w:szCs w:val="32"/>
          <w:highlight w:val="none"/>
        </w:rPr>
      </w:pPr>
    </w:p>
    <w:p w14:paraId="6DC65B58">
      <w:pPr>
        <w:pStyle w:val="17"/>
        <w:spacing w:line="0" w:lineRule="atLeast"/>
        <w:rPr>
          <w:rFonts w:hint="eastAsia" w:asciiTheme="minorEastAsia" w:hAnsiTheme="minorEastAsia" w:eastAsiaTheme="minorEastAsia" w:cstheme="minorEastAsia"/>
          <w:b/>
          <w:color w:val="auto"/>
          <w:sz w:val="32"/>
          <w:szCs w:val="32"/>
          <w:highlight w:val="none"/>
        </w:rPr>
      </w:pPr>
    </w:p>
    <w:p w14:paraId="08703506">
      <w:pPr>
        <w:pStyle w:val="17"/>
        <w:spacing w:line="0" w:lineRule="atLeast"/>
        <w:rPr>
          <w:rFonts w:hint="eastAsia" w:asciiTheme="minorEastAsia" w:hAnsiTheme="minorEastAsia" w:eastAsiaTheme="minorEastAsia" w:cstheme="minorEastAsia"/>
          <w:b/>
          <w:color w:val="auto"/>
          <w:sz w:val="32"/>
          <w:szCs w:val="32"/>
          <w:highlight w:val="none"/>
        </w:rPr>
      </w:pPr>
    </w:p>
    <w:p w14:paraId="16353177">
      <w:pPr>
        <w:pStyle w:val="17"/>
        <w:spacing w:line="0" w:lineRule="atLeast"/>
        <w:rPr>
          <w:rFonts w:hint="eastAsia" w:asciiTheme="minorEastAsia" w:hAnsiTheme="minorEastAsia" w:eastAsiaTheme="minorEastAsia" w:cstheme="minorEastAsia"/>
          <w:b/>
          <w:color w:val="auto"/>
          <w:sz w:val="32"/>
          <w:szCs w:val="32"/>
          <w:highlight w:val="none"/>
        </w:rPr>
      </w:pPr>
    </w:p>
    <w:p w14:paraId="160873D2">
      <w:pPr>
        <w:pStyle w:val="17"/>
        <w:spacing w:line="0" w:lineRule="atLeast"/>
        <w:rPr>
          <w:rFonts w:hint="eastAsia" w:asciiTheme="minorEastAsia" w:hAnsiTheme="minorEastAsia" w:eastAsiaTheme="minorEastAsia" w:cstheme="minorEastAsia"/>
          <w:b/>
          <w:color w:val="auto"/>
          <w:sz w:val="32"/>
          <w:szCs w:val="32"/>
          <w:highlight w:val="none"/>
        </w:rPr>
      </w:pPr>
    </w:p>
    <w:p w14:paraId="1FA842B3">
      <w:pPr>
        <w:pStyle w:val="17"/>
        <w:tabs>
          <w:tab w:val="left" w:pos="1620"/>
        </w:tabs>
        <w:spacing w:line="700" w:lineRule="exact"/>
        <w:ind w:firstLine="1257" w:firstLineChars="348"/>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pacing w:val="20"/>
          <w:sz w:val="32"/>
          <w:szCs w:val="32"/>
          <w:highlight w:val="none"/>
        </w:rPr>
        <w:t>投标人名称(并</w:t>
      </w:r>
      <w:r>
        <w:rPr>
          <w:rFonts w:hint="eastAsia" w:asciiTheme="minorEastAsia" w:hAnsiTheme="minorEastAsia" w:eastAsiaTheme="minorEastAsia" w:cstheme="minorEastAsia"/>
          <w:b/>
          <w:color w:val="auto"/>
          <w:spacing w:val="20"/>
          <w:sz w:val="32"/>
          <w:szCs w:val="32"/>
          <w:highlight w:val="none"/>
          <w:lang w:eastAsia="zh-CN"/>
        </w:rPr>
        <w:t>加</w:t>
      </w:r>
      <w:r>
        <w:rPr>
          <w:rFonts w:hint="eastAsia" w:asciiTheme="minorEastAsia" w:hAnsiTheme="minorEastAsia" w:eastAsiaTheme="minorEastAsia" w:cstheme="minorEastAsia"/>
          <w:b/>
          <w:color w:val="auto"/>
          <w:spacing w:val="20"/>
          <w:sz w:val="32"/>
          <w:szCs w:val="32"/>
          <w:highlight w:val="none"/>
        </w:rPr>
        <w:t>盖公章)</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u w:val="single"/>
        </w:rPr>
        <w:t xml:space="preserve">           </w:t>
      </w:r>
    </w:p>
    <w:p w14:paraId="1014BCF4">
      <w:pPr>
        <w:pStyle w:val="17"/>
        <w:tabs>
          <w:tab w:val="left" w:pos="1620"/>
        </w:tabs>
        <w:spacing w:line="700" w:lineRule="exact"/>
        <w:ind w:firstLine="1269" w:firstLineChars="395"/>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日   期</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u w:val="none"/>
        </w:rPr>
        <w:t>年</w:t>
      </w:r>
      <w:r>
        <w:rPr>
          <w:rFonts w:hint="eastAsia" w:asciiTheme="minorEastAsia" w:hAnsiTheme="minorEastAsia" w:eastAsiaTheme="minorEastAsia" w:cstheme="minorEastAsia"/>
          <w:b/>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u w:val="none"/>
        </w:rPr>
        <w:t>月</w:t>
      </w:r>
      <w:r>
        <w:rPr>
          <w:rFonts w:hint="eastAsia" w:asciiTheme="minorEastAsia" w:hAnsiTheme="minorEastAsia" w:eastAsiaTheme="minorEastAsia" w:cstheme="minorEastAsia"/>
          <w:b/>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u w:val="none"/>
        </w:rPr>
        <w:t>日</w:t>
      </w:r>
    </w:p>
    <w:p w14:paraId="07BAEF6B">
      <w:pPr>
        <w:pStyle w:val="17"/>
        <w:tabs>
          <w:tab w:val="left" w:pos="1620"/>
        </w:tabs>
        <w:spacing w:line="700" w:lineRule="exact"/>
        <w:ind w:firstLine="1279" w:firstLineChars="398"/>
        <w:rPr>
          <w:rFonts w:hint="eastAsia" w:asciiTheme="minorEastAsia" w:hAnsiTheme="minorEastAsia" w:eastAsiaTheme="minorEastAsia" w:cstheme="minorEastAsia"/>
          <w:b/>
          <w:bCs/>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联系电话</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u w:val="single"/>
        </w:rPr>
        <w:t xml:space="preserve">                 </w:t>
      </w:r>
    </w:p>
    <w:p w14:paraId="2E977102">
      <w:pPr>
        <w:pStyle w:val="17"/>
        <w:tabs>
          <w:tab w:val="left" w:pos="1620"/>
        </w:tabs>
        <w:spacing w:line="700" w:lineRule="exact"/>
        <w:ind w:firstLine="1279" w:firstLineChars="398"/>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授权代表人</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u w:val="single"/>
        </w:rPr>
        <w:t xml:space="preserve">                    </w:t>
      </w:r>
    </w:p>
    <w:p w14:paraId="1153D389">
      <w:pPr>
        <w:pStyle w:val="17"/>
        <w:tabs>
          <w:tab w:val="left" w:pos="1620"/>
        </w:tabs>
        <w:spacing w:line="700" w:lineRule="exact"/>
        <w:ind w:firstLine="1279" w:firstLineChars="39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2"/>
          <w:szCs w:val="32"/>
          <w:highlight w:val="none"/>
        </w:rPr>
        <w:t>联系地址</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asciiTheme="minorEastAsia" w:hAnsiTheme="minorEastAsia" w:eastAsiaTheme="minorEastAsia" w:cstheme="minorEastAsia"/>
          <w:b/>
          <w:bCs/>
          <w:color w:val="auto"/>
          <w:sz w:val="36"/>
          <w:szCs w:val="36"/>
          <w:highlight w:val="none"/>
          <w:u w:val="single"/>
        </w:rPr>
        <w:t xml:space="preserve">   </w:t>
      </w:r>
      <w:r>
        <w:rPr>
          <w:rFonts w:hint="eastAsia" w:asciiTheme="minorEastAsia" w:hAnsiTheme="minorEastAsia" w:eastAsiaTheme="minorEastAsia" w:cstheme="minorEastAsia"/>
          <w:b/>
          <w:bCs/>
          <w:color w:val="auto"/>
          <w:sz w:val="36"/>
          <w:szCs w:val="36"/>
          <w:highlight w:val="none"/>
        </w:rPr>
        <w:t xml:space="preserve">   </w:t>
      </w:r>
    </w:p>
    <w:p w14:paraId="105DD03C">
      <w:pPr>
        <w:rPr>
          <w:rFonts w:hint="eastAsia" w:asciiTheme="minorEastAsia" w:hAnsiTheme="minorEastAsia" w:eastAsiaTheme="minorEastAsia" w:cstheme="minorEastAsia"/>
          <w:color w:val="auto"/>
          <w:sz w:val="24"/>
          <w:highlight w:val="none"/>
        </w:rPr>
      </w:pPr>
    </w:p>
    <w:p w14:paraId="4594B472">
      <w:pPr>
        <w:pStyle w:val="7"/>
        <w:snapToGrid w:val="0"/>
        <w:spacing w:line="400" w:lineRule="exact"/>
        <w:ind w:left="-2" w:leftChars="-1" w:firstLine="0" w:firstLineChars="0"/>
        <w:jc w:val="center"/>
        <w:rPr>
          <w:rFonts w:hint="eastAsia" w:asciiTheme="minorEastAsia" w:hAnsiTheme="minorEastAsia" w:eastAsiaTheme="minorEastAsia" w:cstheme="minorEastAsia"/>
          <w:b/>
          <w:bCs/>
          <w:color w:val="auto"/>
          <w:sz w:val="44"/>
          <w:szCs w:val="44"/>
          <w:highlight w:val="none"/>
        </w:rPr>
      </w:pPr>
    </w:p>
    <w:p w14:paraId="1C0BA053">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bCs/>
          <w:color w:val="auto"/>
          <w:sz w:val="84"/>
          <w:szCs w:val="84"/>
          <w:highlight w:val="none"/>
        </w:rPr>
        <w:br w:type="page"/>
      </w:r>
    </w:p>
    <w:p w14:paraId="70AD0F90">
      <w:pPr>
        <w:pStyle w:val="7"/>
        <w:snapToGrid w:val="0"/>
        <w:spacing w:line="420" w:lineRule="atLeast"/>
        <w:ind w:left="-2" w:leftChars="-1" w:firstLine="0" w:firstLineChars="0"/>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资格及资信证明部分格式</w:t>
      </w:r>
    </w:p>
    <w:p w14:paraId="76A98EC8">
      <w:pPr>
        <w:pStyle w:val="7"/>
        <w:snapToGrid w:val="0"/>
        <w:spacing w:line="420" w:lineRule="atLeast"/>
        <w:ind w:left="-2" w:leftChars="-1"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rPr>
        <w:t>目    录</w:t>
      </w:r>
    </w:p>
    <w:p w14:paraId="06D7B131">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highlight w:val="none"/>
        </w:rPr>
        <w:t>关于资格的声明函</w:t>
      </w:r>
    </w:p>
    <w:p w14:paraId="6BB098F9">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highlight w:val="none"/>
        </w:rPr>
        <w:t>投标人的资格声明一</w:t>
      </w:r>
    </w:p>
    <w:p w14:paraId="2616763D">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sz w:val="24"/>
          <w:szCs w:val="24"/>
          <w:highlight w:val="none"/>
        </w:rPr>
        <w:t>投标人的资格声明一的证明材料</w:t>
      </w:r>
    </w:p>
    <w:p w14:paraId="153E0F34">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4.</w:t>
      </w:r>
      <w:r>
        <w:rPr>
          <w:rFonts w:hint="eastAsia" w:asciiTheme="minorEastAsia" w:hAnsiTheme="minorEastAsia" w:eastAsiaTheme="minorEastAsia" w:cstheme="minorEastAsia"/>
          <w:color w:val="auto"/>
          <w:sz w:val="24"/>
          <w:szCs w:val="24"/>
          <w:highlight w:val="none"/>
        </w:rPr>
        <w:t>投标人的资格声明二</w:t>
      </w:r>
    </w:p>
    <w:p w14:paraId="415A67A5">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5.</w:t>
      </w:r>
      <w:r>
        <w:rPr>
          <w:rFonts w:hint="eastAsia" w:asciiTheme="minorEastAsia" w:hAnsiTheme="minorEastAsia" w:eastAsiaTheme="minorEastAsia" w:cstheme="minorEastAsia"/>
          <w:color w:val="auto"/>
          <w:sz w:val="24"/>
          <w:szCs w:val="24"/>
          <w:highlight w:val="none"/>
        </w:rPr>
        <w:t>法定代表人授权书</w:t>
      </w:r>
    </w:p>
    <w:p w14:paraId="3A47DF04">
      <w:pPr>
        <w:numPr>
          <w:ilvl w:val="0"/>
          <w:numId w:val="0"/>
        </w:numPr>
        <w:spacing w:line="440" w:lineRule="exact"/>
        <w:ind w:left="425" w:leftChars="0" w:hanging="425" w:firstLineChars="0"/>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6.</w:t>
      </w:r>
      <w:r>
        <w:rPr>
          <w:rFonts w:hint="eastAsia" w:asciiTheme="minorEastAsia" w:hAnsiTheme="minorEastAsia" w:eastAsiaTheme="minorEastAsia" w:cstheme="minorEastAsia"/>
          <w:color w:val="auto"/>
          <w:sz w:val="24"/>
          <w:szCs w:val="24"/>
          <w:highlight w:val="none"/>
        </w:rPr>
        <w:t>营业执照等证明文件</w:t>
      </w:r>
    </w:p>
    <w:p w14:paraId="1DB1AF59">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7.</w:t>
      </w:r>
      <w:r>
        <w:rPr>
          <w:rFonts w:hint="eastAsia" w:asciiTheme="minorEastAsia" w:hAnsiTheme="minorEastAsia" w:eastAsiaTheme="minorEastAsia" w:cstheme="minorEastAsia"/>
          <w:color w:val="auto"/>
          <w:sz w:val="24"/>
          <w:szCs w:val="24"/>
          <w:highlight w:val="none"/>
          <w:lang w:val="en-US" w:eastAsia="zh-CN"/>
        </w:rPr>
        <w:t>投标保证金复印件</w:t>
      </w:r>
    </w:p>
    <w:p w14:paraId="648E40FD">
      <w:pPr>
        <w:numPr>
          <w:ilvl w:val="0"/>
          <w:numId w:val="0"/>
        </w:numPr>
        <w:spacing w:line="440" w:lineRule="exact"/>
        <w:ind w:left="425" w:leftChars="0" w:hanging="425" w:firstLineChars="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kern w:val="2"/>
          <w:sz w:val="24"/>
          <w:szCs w:val="24"/>
          <w:lang w:val="en-US" w:eastAsia="zh-CN" w:bidi="ar-SA"/>
        </w:rPr>
        <w:t>8.</w:t>
      </w:r>
      <w:r>
        <w:rPr>
          <w:rFonts w:hint="eastAsia" w:asciiTheme="minorEastAsia" w:hAnsiTheme="minorEastAsia" w:eastAsiaTheme="minorEastAsia" w:cstheme="minorEastAsia"/>
          <w:color w:val="auto"/>
          <w:sz w:val="24"/>
          <w:szCs w:val="24"/>
          <w:highlight w:val="none"/>
        </w:rPr>
        <w:t>投标人提供的其它资格证明文件(若有)</w:t>
      </w:r>
    </w:p>
    <w:p w14:paraId="234FA853">
      <w:pPr>
        <w:spacing w:line="400" w:lineRule="exact"/>
        <w:rPr>
          <w:rFonts w:hint="eastAsia" w:asciiTheme="minorEastAsia" w:hAnsiTheme="minorEastAsia" w:eastAsiaTheme="minorEastAsia" w:cstheme="minorEastAsia"/>
          <w:color w:val="auto"/>
          <w:szCs w:val="21"/>
          <w:highlight w:val="none"/>
        </w:rPr>
      </w:pPr>
    </w:p>
    <w:p w14:paraId="4294E222">
      <w:pPr>
        <w:spacing w:line="400" w:lineRule="exact"/>
        <w:rPr>
          <w:rFonts w:hint="eastAsia" w:asciiTheme="minorEastAsia" w:hAnsiTheme="minorEastAsia" w:eastAsiaTheme="minorEastAsia" w:cstheme="minorEastAsia"/>
          <w:color w:val="auto"/>
          <w:szCs w:val="21"/>
          <w:highlight w:val="none"/>
        </w:rPr>
      </w:pPr>
    </w:p>
    <w:p w14:paraId="3CA2210E">
      <w:pPr>
        <w:spacing w:line="400" w:lineRule="exact"/>
        <w:rPr>
          <w:rFonts w:hint="eastAsia" w:asciiTheme="minorEastAsia" w:hAnsiTheme="minorEastAsia" w:eastAsiaTheme="minorEastAsia" w:cstheme="minorEastAsia"/>
          <w:b/>
          <w:color w:val="auto"/>
          <w:sz w:val="36"/>
          <w:highlight w:val="none"/>
        </w:rPr>
      </w:pPr>
    </w:p>
    <w:p w14:paraId="7CFEE583">
      <w:pPr>
        <w:spacing w:line="400" w:lineRule="exact"/>
        <w:ind w:firstLine="600"/>
        <w:rPr>
          <w:rFonts w:hint="eastAsia" w:asciiTheme="minorEastAsia" w:hAnsiTheme="minorEastAsia" w:eastAsiaTheme="minorEastAsia" w:cstheme="minorEastAsia"/>
          <w:b/>
          <w:color w:val="auto"/>
          <w:szCs w:val="21"/>
          <w:highlight w:val="none"/>
        </w:rPr>
      </w:pPr>
    </w:p>
    <w:p w14:paraId="7770864E">
      <w:pPr>
        <w:spacing w:line="400" w:lineRule="exact"/>
        <w:ind w:firstLine="600"/>
        <w:rPr>
          <w:rFonts w:hint="eastAsia" w:asciiTheme="minorEastAsia" w:hAnsiTheme="minorEastAsia" w:eastAsiaTheme="minorEastAsia" w:cstheme="minorEastAsia"/>
          <w:b/>
          <w:color w:val="auto"/>
          <w:szCs w:val="21"/>
          <w:highlight w:val="none"/>
        </w:rPr>
      </w:pPr>
    </w:p>
    <w:p w14:paraId="683C6E37">
      <w:pPr>
        <w:spacing w:line="400" w:lineRule="exact"/>
        <w:jc w:val="center"/>
        <w:rPr>
          <w:rFonts w:hint="eastAsia" w:asciiTheme="minorEastAsia" w:hAnsiTheme="minorEastAsia" w:eastAsiaTheme="minorEastAsia" w:cstheme="minorEastAsia"/>
          <w:b/>
          <w:color w:val="auto"/>
          <w:sz w:val="36"/>
          <w:highlight w:val="none"/>
        </w:rPr>
      </w:pPr>
    </w:p>
    <w:p w14:paraId="77F5AA48">
      <w:pPr>
        <w:spacing w:line="38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br w:type="page"/>
      </w:r>
    </w:p>
    <w:p w14:paraId="05277ED1">
      <w:pPr>
        <w:spacing w:line="3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6"/>
          <w:highlight w:val="none"/>
          <w:lang w:val="en-US" w:eastAsia="zh-CN"/>
        </w:rPr>
        <w:t>1、</w:t>
      </w:r>
      <w:r>
        <w:rPr>
          <w:rFonts w:hint="eastAsia" w:asciiTheme="minorEastAsia" w:hAnsiTheme="minorEastAsia" w:eastAsiaTheme="minorEastAsia" w:cstheme="minorEastAsia"/>
          <w:b/>
          <w:color w:val="auto"/>
          <w:sz w:val="36"/>
          <w:highlight w:val="none"/>
        </w:rPr>
        <w:t>关于资格的声明函</w:t>
      </w:r>
    </w:p>
    <w:p w14:paraId="086D32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致:福建鼎御招标有限公司</w:t>
      </w:r>
    </w:p>
    <w:p w14:paraId="05D73C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(招标编号)投标邀请，本签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人愿意参加投标，提供招标文件“招标项目一览表”中规定的合同包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的所有货物，并证明提交的下列文件和说明是准确的和真实的。</w:t>
      </w:r>
    </w:p>
    <w:p w14:paraId="0AE310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人确认资格文件中的说明以及投标文件中所有提交的文件和材料是真实的、准确的，所提供的相关材料的复印件均与原件一致。</w:t>
      </w:r>
    </w:p>
    <w:p w14:paraId="1E2BDD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我方的资格声明正本一份，副本</w:t>
      </w:r>
      <w:r>
        <w:rPr>
          <w:rFonts w:hint="eastAsia" w:asciiTheme="minorEastAsia" w:hAnsiTheme="minorEastAsia" w:eastAsiaTheme="minorEastAsia" w:cstheme="minorEastAsia"/>
          <w:color w:val="auto"/>
          <w:sz w:val="24"/>
          <w:szCs w:val="24"/>
          <w:highlight w:val="none"/>
          <w:lang w:val="en-US" w:eastAsia="zh-CN"/>
        </w:rPr>
        <w:t>陆</w:t>
      </w:r>
      <w:r>
        <w:rPr>
          <w:rFonts w:hint="eastAsia" w:asciiTheme="minorEastAsia" w:hAnsiTheme="minorEastAsia" w:eastAsiaTheme="minorEastAsia" w:cstheme="minorEastAsia"/>
          <w:color w:val="auto"/>
          <w:sz w:val="24"/>
          <w:szCs w:val="24"/>
          <w:highlight w:val="none"/>
        </w:rPr>
        <w:t>份，随投标文件一同递交。</w:t>
      </w:r>
    </w:p>
    <w:p w14:paraId="69D4C34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6FB5CC5">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A7731E5">
      <w:pPr>
        <w:spacing w:line="400" w:lineRule="exact"/>
        <w:rPr>
          <w:rFonts w:hint="eastAsia" w:asciiTheme="minorEastAsia" w:hAnsiTheme="minorEastAsia" w:eastAsiaTheme="minorEastAsia" w:cstheme="minorEastAsia"/>
          <w:color w:val="auto"/>
          <w:szCs w:val="21"/>
          <w:highlight w:val="none"/>
        </w:rPr>
      </w:pPr>
    </w:p>
    <w:p w14:paraId="1B68AE92">
      <w:pPr>
        <w:spacing w:line="400" w:lineRule="exact"/>
        <w:rPr>
          <w:rFonts w:hint="eastAsia" w:asciiTheme="minorEastAsia" w:hAnsiTheme="minorEastAsia" w:eastAsiaTheme="minorEastAsia" w:cstheme="minorEastAsia"/>
          <w:color w:val="auto"/>
          <w:szCs w:val="21"/>
          <w:highlight w:val="none"/>
        </w:rPr>
      </w:pPr>
    </w:p>
    <w:p w14:paraId="11684383">
      <w:pPr>
        <w:spacing w:line="400" w:lineRule="exact"/>
        <w:rPr>
          <w:rFonts w:hint="eastAsia" w:asciiTheme="minorEastAsia" w:hAnsiTheme="minorEastAsia" w:eastAsiaTheme="minorEastAsia" w:cstheme="minorEastAsia"/>
          <w:color w:val="auto"/>
          <w:szCs w:val="21"/>
          <w:highlight w:val="none"/>
        </w:rPr>
      </w:pPr>
    </w:p>
    <w:p w14:paraId="011B2A2F">
      <w:pPr>
        <w:spacing w:line="400" w:lineRule="exact"/>
        <w:rPr>
          <w:rFonts w:hint="eastAsia" w:asciiTheme="minorEastAsia" w:hAnsiTheme="minorEastAsia" w:eastAsiaTheme="minorEastAsia" w:cstheme="minorEastAsia"/>
          <w:color w:val="auto"/>
          <w:szCs w:val="21"/>
          <w:highlight w:val="none"/>
        </w:rPr>
      </w:pPr>
    </w:p>
    <w:p w14:paraId="7CC2EA13">
      <w:pPr>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45D0D8B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6375923">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Cs w:val="21"/>
          <w:highlight w:val="none"/>
        </w:rPr>
        <w:t xml:space="preserve">               </w:t>
      </w:r>
    </w:p>
    <w:p w14:paraId="2F5EF2E4">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p>
    <w:p w14:paraId="3D09B3B8">
      <w:pPr>
        <w:spacing w:line="400" w:lineRule="exact"/>
        <w:rPr>
          <w:rFonts w:hint="eastAsia" w:asciiTheme="minorEastAsia" w:hAnsiTheme="minorEastAsia" w:eastAsiaTheme="minorEastAsia" w:cstheme="minorEastAsia"/>
          <w:color w:val="auto"/>
          <w:szCs w:val="21"/>
          <w:highlight w:val="none"/>
          <w:u w:val="single"/>
        </w:rPr>
      </w:pPr>
    </w:p>
    <w:p w14:paraId="1A9EBD11">
      <w:pPr>
        <w:spacing w:line="400" w:lineRule="exact"/>
        <w:rPr>
          <w:rFonts w:hint="eastAsia" w:asciiTheme="minorEastAsia" w:hAnsiTheme="minorEastAsia" w:eastAsiaTheme="minorEastAsia" w:cstheme="minorEastAsia"/>
          <w:color w:val="auto"/>
          <w:szCs w:val="21"/>
          <w:highlight w:val="none"/>
          <w:u w:val="single"/>
        </w:rPr>
      </w:pPr>
    </w:p>
    <w:p w14:paraId="7B91D273">
      <w:pPr>
        <w:spacing w:line="400" w:lineRule="exact"/>
        <w:rPr>
          <w:rFonts w:hint="eastAsia" w:asciiTheme="minorEastAsia" w:hAnsiTheme="minorEastAsia" w:eastAsiaTheme="minorEastAsia" w:cstheme="minorEastAsia"/>
          <w:color w:val="auto"/>
          <w:szCs w:val="21"/>
          <w:highlight w:val="none"/>
          <w:u w:val="single"/>
        </w:rPr>
      </w:pPr>
    </w:p>
    <w:p w14:paraId="0132799F">
      <w:pPr>
        <w:spacing w:line="400" w:lineRule="exact"/>
        <w:rPr>
          <w:rFonts w:hint="eastAsia" w:asciiTheme="minorEastAsia" w:hAnsiTheme="minorEastAsia" w:eastAsiaTheme="minorEastAsia" w:cstheme="minorEastAsia"/>
          <w:color w:val="auto"/>
          <w:szCs w:val="21"/>
          <w:highlight w:val="none"/>
          <w:u w:val="single"/>
        </w:rPr>
      </w:pPr>
    </w:p>
    <w:p w14:paraId="1EF1A1D8">
      <w:pPr>
        <w:spacing w:line="400" w:lineRule="exact"/>
        <w:rPr>
          <w:rFonts w:hint="eastAsia" w:asciiTheme="minorEastAsia" w:hAnsiTheme="minorEastAsia" w:eastAsiaTheme="minorEastAsia" w:cstheme="minorEastAsia"/>
          <w:color w:val="auto"/>
          <w:szCs w:val="21"/>
          <w:highlight w:val="none"/>
          <w:u w:val="single"/>
        </w:rPr>
      </w:pPr>
    </w:p>
    <w:p w14:paraId="316A984E">
      <w:pPr>
        <w:spacing w:line="400" w:lineRule="exact"/>
        <w:rPr>
          <w:rFonts w:hint="eastAsia" w:asciiTheme="minorEastAsia" w:hAnsiTheme="minorEastAsia" w:eastAsiaTheme="minorEastAsia" w:cstheme="minorEastAsia"/>
          <w:color w:val="auto"/>
          <w:szCs w:val="21"/>
          <w:highlight w:val="none"/>
        </w:rPr>
      </w:pPr>
    </w:p>
    <w:p w14:paraId="5BCA9EC8">
      <w:pPr>
        <w:spacing w:line="400" w:lineRule="exact"/>
        <w:rPr>
          <w:rFonts w:hint="eastAsia" w:asciiTheme="minorEastAsia" w:hAnsiTheme="minorEastAsia" w:eastAsiaTheme="minorEastAsia" w:cstheme="minorEastAsia"/>
          <w:color w:val="auto"/>
          <w:szCs w:val="21"/>
          <w:highlight w:val="none"/>
        </w:rPr>
      </w:pPr>
    </w:p>
    <w:p w14:paraId="33A4613C">
      <w:pPr>
        <w:spacing w:line="400" w:lineRule="exact"/>
        <w:rPr>
          <w:rFonts w:hint="eastAsia" w:asciiTheme="minorEastAsia" w:hAnsiTheme="minorEastAsia" w:eastAsiaTheme="minorEastAsia" w:cstheme="minorEastAsia"/>
          <w:color w:val="auto"/>
          <w:szCs w:val="21"/>
          <w:highlight w:val="none"/>
        </w:rPr>
      </w:pPr>
    </w:p>
    <w:p w14:paraId="1E374C8A">
      <w:pPr>
        <w:spacing w:line="400" w:lineRule="exact"/>
        <w:rPr>
          <w:rFonts w:hint="eastAsia" w:asciiTheme="minorEastAsia" w:hAnsiTheme="minorEastAsia" w:eastAsiaTheme="minorEastAsia" w:cstheme="minorEastAsia"/>
          <w:color w:val="auto"/>
          <w:sz w:val="24"/>
          <w:highlight w:val="none"/>
        </w:rPr>
      </w:pPr>
    </w:p>
    <w:p w14:paraId="2B99FC7C">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08F7226D">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6"/>
          <w:highlight w:val="none"/>
          <w:lang w:val="en-US" w:eastAsia="zh-CN"/>
        </w:rPr>
        <w:t>2、</w:t>
      </w:r>
      <w:r>
        <w:rPr>
          <w:rFonts w:hint="eastAsia" w:asciiTheme="minorEastAsia" w:hAnsiTheme="minorEastAsia" w:eastAsiaTheme="minorEastAsia" w:cstheme="minorEastAsia"/>
          <w:b/>
          <w:color w:val="auto"/>
          <w:sz w:val="36"/>
          <w:highlight w:val="none"/>
        </w:rPr>
        <w:t>投标人的资格声明一</w:t>
      </w:r>
    </w:p>
    <w:p w14:paraId="1CFE9128">
      <w:pPr>
        <w:wordWrap w:val="0"/>
        <w:spacing w:line="400" w:lineRule="exact"/>
        <w:jc w:val="center"/>
        <w:rPr>
          <w:color w:val="FF0000"/>
        </w:rPr>
      </w:pPr>
      <w:r>
        <w:rPr>
          <w:rFonts w:hint="eastAsia" w:ascii="宋体" w:hAnsi="宋体" w:eastAsia="宋体" w:cs="宋体"/>
          <w:b/>
          <w:color w:val="auto"/>
          <w:sz w:val="36"/>
          <w:szCs w:val="36"/>
        </w:rPr>
        <w:t>供应商资格承诺函</w:t>
      </w:r>
    </w:p>
    <w:p w14:paraId="551E1DF8">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EC8355B">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59AB5838">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52B511F7">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16359EBE">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7DD1F596">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1D7E80C4">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0302BF48">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16C18358">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5435C053">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05DD3A1">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A19C94A">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13191C4A">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7CB9C2EB">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3CCCA09">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7D69BD4">
      <w:pPr>
        <w:pStyle w:val="100"/>
        <w:keepNext w:val="0"/>
        <w:keepLines w:val="0"/>
        <w:pageBreakBefore w:val="0"/>
        <w:kinsoku/>
        <w:overflowPunct/>
        <w:topLinePunct w:val="0"/>
        <w:autoSpaceDE/>
        <w:autoSpaceDN/>
        <w:bidi w:val="0"/>
        <w:adjustRightInd/>
        <w:snapToGrid/>
        <w:spacing w:line="40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7F616680">
      <w:pPr>
        <w:pStyle w:val="100"/>
        <w:keepNext w:val="0"/>
        <w:keepLines w:val="0"/>
        <w:pageBreakBefore w:val="0"/>
        <w:kinsoku/>
        <w:overflowPunct/>
        <w:topLinePunct w:val="0"/>
        <w:autoSpaceDE/>
        <w:autoSpaceDN/>
        <w:bidi w:val="0"/>
        <w:adjustRightInd/>
        <w:snapToGrid/>
        <w:spacing w:line="40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21D4E62">
      <w:pPr>
        <w:pStyle w:val="100"/>
        <w:keepNext w:val="0"/>
        <w:keepLines w:val="0"/>
        <w:pageBreakBefore w:val="0"/>
        <w:kinsoku/>
        <w:overflowPunct/>
        <w:topLinePunct w:val="0"/>
        <w:autoSpaceDE/>
        <w:autoSpaceDN/>
        <w:bidi w:val="0"/>
        <w:adjustRightInd/>
        <w:snapToGrid/>
        <w:spacing w:line="4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53BED57F">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3AD2764C">
      <w:pPr>
        <w:pStyle w:val="100"/>
        <w:keepNext w:val="0"/>
        <w:keepLines w:val="0"/>
        <w:pageBreakBefore w:val="0"/>
        <w:kinsoku/>
        <w:overflowPunct/>
        <w:topLinePunct w:val="0"/>
        <w:autoSpaceDE/>
        <w:autoSpaceDN/>
        <w:bidi w:val="0"/>
        <w:adjustRightInd/>
        <w:snapToGrid/>
        <w:spacing w:line="400" w:lineRule="exact"/>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7403C90B">
      <w:pPr>
        <w:wordWrap w:val="0"/>
        <w:spacing w:line="400" w:lineRule="exact"/>
        <w:jc w:val="center"/>
        <w:rPr>
          <w:rFonts w:hint="eastAsia" w:asciiTheme="minorEastAsia" w:hAnsiTheme="minorEastAsia" w:eastAsiaTheme="minorEastAsia" w:cstheme="minorEastAsia"/>
          <w:b/>
          <w:color w:val="auto"/>
          <w:sz w:val="36"/>
          <w:highlight w:val="none"/>
          <w:lang w:val="en-US" w:eastAsia="zh-CN"/>
        </w:rPr>
      </w:pPr>
    </w:p>
    <w:p w14:paraId="72B8E4A5">
      <w:pPr>
        <w:wordWrap w:val="0"/>
        <w:spacing w:line="400" w:lineRule="exact"/>
        <w:jc w:val="center"/>
        <w:rPr>
          <w:rFonts w:hint="eastAsia" w:asciiTheme="minorEastAsia" w:hAnsiTheme="minorEastAsia" w:eastAsiaTheme="minorEastAsia" w:cstheme="minorEastAsia"/>
          <w:b/>
          <w:color w:val="auto"/>
          <w:sz w:val="36"/>
          <w:highlight w:val="none"/>
          <w:lang w:val="en-US" w:eastAsia="zh-CN"/>
        </w:rPr>
      </w:pPr>
    </w:p>
    <w:p w14:paraId="4F134E4F">
      <w:pPr>
        <w:wordWrap w:val="0"/>
        <w:spacing w:line="400" w:lineRule="exact"/>
        <w:jc w:val="cente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b/>
          <w:color w:val="auto"/>
          <w:sz w:val="36"/>
          <w:highlight w:val="none"/>
          <w:lang w:val="en-US" w:eastAsia="zh-CN"/>
        </w:rPr>
        <w:t>3、</w:t>
      </w:r>
      <w:r>
        <w:rPr>
          <w:rFonts w:hint="eastAsia" w:asciiTheme="minorEastAsia" w:hAnsiTheme="minorEastAsia" w:eastAsiaTheme="minorEastAsia" w:cstheme="minorEastAsia"/>
          <w:b/>
          <w:color w:val="auto"/>
          <w:sz w:val="36"/>
          <w:highlight w:val="none"/>
        </w:rPr>
        <w:t>投标人的资格声明一证明材料</w:t>
      </w:r>
    </w:p>
    <w:p w14:paraId="682A94CE">
      <w:pPr>
        <w:wordWrap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1、财务状况报告</w:t>
      </w:r>
    </w:p>
    <w:tbl>
      <w:tblPr>
        <w:tblStyle w:val="32"/>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4"/>
      </w:tblGrid>
      <w:tr w14:paraId="486E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594" w:type="dxa"/>
            <w:vAlign w:val="top"/>
          </w:tcPr>
          <w:p w14:paraId="114778FE">
            <w:pPr>
              <w:wordWrap w:val="0"/>
              <w:spacing w:line="400" w:lineRule="exact"/>
              <w:rPr>
                <w:rFonts w:hint="eastAsia" w:asciiTheme="minorEastAsia" w:hAnsiTheme="minorEastAsia" w:eastAsiaTheme="minorEastAsia" w:cstheme="minorEastAsia"/>
                <w:color w:val="auto"/>
                <w:sz w:val="24"/>
                <w:szCs w:val="24"/>
                <w:highlight w:val="none"/>
              </w:rPr>
            </w:pPr>
          </w:p>
        </w:tc>
      </w:tr>
    </w:tbl>
    <w:p w14:paraId="41F5D9A7">
      <w:pPr>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2、依法缴纳税收证明材料；</w:t>
      </w:r>
    </w:p>
    <w:tbl>
      <w:tblPr>
        <w:tblStyle w:val="32"/>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4"/>
      </w:tblGrid>
      <w:tr w14:paraId="4C8D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594" w:type="dxa"/>
            <w:vAlign w:val="top"/>
          </w:tcPr>
          <w:p w14:paraId="5995A4AB">
            <w:pPr>
              <w:spacing w:line="400" w:lineRule="exact"/>
              <w:rPr>
                <w:rFonts w:hint="eastAsia" w:asciiTheme="minorEastAsia" w:hAnsiTheme="minorEastAsia" w:eastAsiaTheme="minorEastAsia" w:cstheme="minorEastAsia"/>
                <w:color w:val="auto"/>
                <w:sz w:val="24"/>
                <w:szCs w:val="24"/>
                <w:highlight w:val="none"/>
              </w:rPr>
            </w:pPr>
          </w:p>
        </w:tc>
      </w:tr>
    </w:tbl>
    <w:p w14:paraId="70DA4570">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3、依法缴纳</w:t>
      </w:r>
      <w:r>
        <w:rPr>
          <w:rFonts w:hint="eastAsia" w:asciiTheme="minorEastAsia" w:hAnsiTheme="minorEastAsia" w:eastAsiaTheme="minorEastAsia" w:cstheme="minorEastAsia"/>
          <w:color w:val="auto"/>
          <w:sz w:val="24"/>
          <w:szCs w:val="24"/>
          <w:highlight w:val="none"/>
          <w:lang w:val="en-US" w:eastAsia="zh-CN"/>
        </w:rPr>
        <w:t>社会保障资金</w:t>
      </w:r>
      <w:r>
        <w:rPr>
          <w:rFonts w:hint="eastAsia" w:asciiTheme="minorEastAsia" w:hAnsiTheme="minorEastAsia" w:eastAsiaTheme="minorEastAsia" w:cstheme="minorEastAsia"/>
          <w:color w:val="auto"/>
          <w:sz w:val="24"/>
          <w:szCs w:val="24"/>
          <w:highlight w:val="none"/>
        </w:rPr>
        <w:t>证明材料；</w:t>
      </w:r>
    </w:p>
    <w:tbl>
      <w:tblPr>
        <w:tblStyle w:val="32"/>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2ABA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560" w:type="dxa"/>
            <w:vAlign w:val="top"/>
          </w:tcPr>
          <w:p w14:paraId="0D3962AE">
            <w:pPr>
              <w:wordWrap w:val="0"/>
              <w:spacing w:line="400" w:lineRule="exact"/>
              <w:rPr>
                <w:rFonts w:hint="eastAsia" w:asciiTheme="minorEastAsia" w:hAnsiTheme="minorEastAsia" w:eastAsiaTheme="minorEastAsia" w:cstheme="minorEastAsia"/>
                <w:color w:val="auto"/>
                <w:sz w:val="24"/>
                <w:szCs w:val="24"/>
                <w:highlight w:val="none"/>
              </w:rPr>
            </w:pPr>
          </w:p>
        </w:tc>
      </w:tr>
    </w:tbl>
    <w:p w14:paraId="0766EAC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4、信用记录查询证明材料(</w:t>
      </w:r>
      <w:r>
        <w:rPr>
          <w:rFonts w:hint="eastAsia" w:asciiTheme="minorEastAsia" w:hAnsiTheme="minorEastAsia" w:eastAsiaTheme="minorEastAsia" w:cstheme="minorEastAsia"/>
          <w:b/>
          <w:bCs/>
          <w:color w:val="auto"/>
          <w:sz w:val="24"/>
          <w:szCs w:val="24"/>
          <w:highlight w:val="none"/>
        </w:rPr>
        <w:t>中国政府采购网(www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ccgp</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cn)、信用中国(https://www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creditchina</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cn/)、国家企业信用信息公示系统(http://www</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gsxt</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gov</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cn/)</w:t>
      </w:r>
      <w:r>
        <w:rPr>
          <w:rFonts w:hint="eastAsia" w:asciiTheme="minorEastAsia" w:hAnsiTheme="minorEastAsia" w:eastAsiaTheme="minorEastAsia" w:cstheme="minorEastAsia"/>
          <w:color w:val="auto"/>
          <w:sz w:val="24"/>
          <w:szCs w:val="24"/>
          <w:highlight w:val="none"/>
        </w:rPr>
        <w:t>查询记录)；</w:t>
      </w:r>
    </w:p>
    <w:tbl>
      <w:tblPr>
        <w:tblStyle w:val="32"/>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14:paraId="4D4F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9549" w:type="dxa"/>
            <w:vAlign w:val="top"/>
          </w:tcPr>
          <w:p w14:paraId="0AA0DA72">
            <w:pPr>
              <w:wordWrap w:val="0"/>
              <w:spacing w:line="400" w:lineRule="exact"/>
              <w:rPr>
                <w:rFonts w:hint="eastAsia" w:asciiTheme="minorEastAsia" w:hAnsiTheme="minorEastAsia" w:eastAsiaTheme="minorEastAsia" w:cstheme="minorEastAsia"/>
                <w:color w:val="auto"/>
                <w:sz w:val="24"/>
                <w:szCs w:val="24"/>
                <w:highlight w:val="none"/>
              </w:rPr>
            </w:pPr>
          </w:p>
        </w:tc>
      </w:tr>
    </w:tbl>
    <w:p w14:paraId="25C89C97">
      <w:pPr>
        <w:wordWrap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40CFB0B8">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3BA02F8">
      <w:pPr>
        <w:wordWrap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年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月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5A97DA4">
      <w:pPr>
        <w:wordWrap w:val="0"/>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7F8F396B">
      <w:pPr>
        <w:wordWrap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6"/>
          <w:highlight w:val="none"/>
          <w:lang w:val="en-US" w:eastAsia="zh-CN"/>
        </w:rPr>
        <w:t>4、</w:t>
      </w:r>
      <w:r>
        <w:rPr>
          <w:rFonts w:hint="eastAsia" w:asciiTheme="minorEastAsia" w:hAnsiTheme="minorEastAsia" w:eastAsiaTheme="minorEastAsia" w:cstheme="minorEastAsia"/>
          <w:b/>
          <w:color w:val="auto"/>
          <w:sz w:val="36"/>
          <w:highlight w:val="none"/>
        </w:rPr>
        <w:t>投标人的资格声明二</w:t>
      </w:r>
    </w:p>
    <w:p w14:paraId="6B9A00B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致:福建鼎御招标有限公司</w:t>
      </w:r>
    </w:p>
    <w:p w14:paraId="49145865">
      <w:pPr>
        <w:keepNext w:val="0"/>
        <w:keepLines w:val="0"/>
        <w:pageBreakBefore w:val="0"/>
        <w:numPr>
          <w:ilvl w:val="0"/>
          <w:numId w:val="7"/>
        </w:numPr>
        <w:kinsoku/>
        <w:wordWrap w:val="0"/>
        <w:overflowPunct/>
        <w:topLinePunct w:val="0"/>
        <w:autoSpaceDE/>
        <w:autoSpaceDN/>
        <w:bidi w:val="0"/>
        <w:adjustRightInd/>
        <w:snapToGrid/>
        <w:spacing w:line="42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我方参加贵公司组织的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项目投标，没有招标文件第二章中“合格的投标人”条款规定的第3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3项情形，若有虚假或不实之处，我方将失去合格的投标人资格，且我方的投标保证金将不予以退还。</w:t>
      </w:r>
    </w:p>
    <w:p w14:paraId="2FA386FF">
      <w:pPr>
        <w:pStyle w:val="26"/>
        <w:keepNext w:val="0"/>
        <w:keepLines w:val="0"/>
        <w:pageBreakBefore w:val="0"/>
        <w:kinsoku/>
        <w:overflowPunct/>
        <w:topLinePunct w:val="0"/>
        <w:autoSpaceDE/>
        <w:autoSpaceDN/>
        <w:bidi w:val="0"/>
        <w:adjustRightInd/>
        <w:snapToGrid/>
        <w:spacing w:before="0" w:beforeLines="0" w:beforeAutospacing="0" w:after="0" w:afterLines="0" w:afterAutospacing="0" w:line="420" w:lineRule="exact"/>
        <w:ind w:firstLine="420"/>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
          <w:sz w:val="24"/>
          <w:szCs w:val="24"/>
          <w:highlight w:val="none"/>
        </w:rPr>
        <w:t>我方具备履行合同所必需的设备和专业技术能力，否则产生不利后果由我方承担责任。</w:t>
      </w:r>
    </w:p>
    <w:p w14:paraId="6DE411C3">
      <w:pPr>
        <w:keepNext w:val="0"/>
        <w:keepLines w:val="0"/>
        <w:pageBreakBefore w:val="0"/>
        <w:kinsoku/>
        <w:overflowPunct/>
        <w:topLinePunct w:val="0"/>
        <w:autoSpaceDE/>
        <w:autoSpaceDN/>
        <w:bidi w:val="0"/>
        <w:adjustRightInd/>
        <w:snapToGrid/>
        <w:spacing w:line="42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3、我方承诺本项目所投产品均为生产厂家的正规合格产品，均符合国家相关强制性规定，若有虚假或不实之处，我方将失去合格的投标人资格，且我方的投标保证金将</w:t>
      </w:r>
      <w:r>
        <w:rPr>
          <w:rFonts w:hint="eastAsia" w:asciiTheme="minorEastAsia" w:hAnsiTheme="minorEastAsia" w:eastAsiaTheme="minorEastAsia" w:cstheme="minorEastAsia"/>
          <w:color w:val="auto"/>
          <w:sz w:val="24"/>
          <w:szCs w:val="24"/>
          <w:highlight w:val="none"/>
          <w:lang w:eastAsia="zh-CN"/>
        </w:rPr>
        <w:t>不予退还</w:t>
      </w:r>
      <w:r>
        <w:rPr>
          <w:rFonts w:hint="eastAsia" w:asciiTheme="minorEastAsia" w:hAnsiTheme="minorEastAsia" w:eastAsiaTheme="minorEastAsia" w:cstheme="minorEastAsia"/>
          <w:color w:val="auto"/>
          <w:sz w:val="24"/>
          <w:szCs w:val="24"/>
          <w:highlight w:val="none"/>
        </w:rPr>
        <w:t>。</w:t>
      </w:r>
    </w:p>
    <w:p w14:paraId="6E5F63B9">
      <w:pPr>
        <w:keepNext w:val="0"/>
        <w:keepLines w:val="0"/>
        <w:pageBreakBefore w:val="0"/>
        <w:kinsoku/>
        <w:overflowPunct/>
        <w:topLinePunct w:val="0"/>
        <w:autoSpaceDE/>
        <w:autoSpaceDN/>
        <w:bidi w:val="0"/>
        <w:adjustRightInd/>
        <w:snapToGrid/>
        <w:spacing w:line="42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承诺参加本项目投标前3年内在经营活动中没有重大违法记录(重大违法记录，是指供应商因违法经营受到刑事处罚或者责令停产停业、吊销许可证或者执照、较大数额罚款等行政处罚)，若有虚假或不实之处，我方将失去合格的投标人资格，且我方的投标保证金将</w:t>
      </w:r>
      <w:r>
        <w:rPr>
          <w:rFonts w:hint="eastAsia" w:asciiTheme="minorEastAsia" w:hAnsiTheme="minorEastAsia" w:eastAsiaTheme="minorEastAsia" w:cstheme="minorEastAsia"/>
          <w:color w:val="auto"/>
          <w:sz w:val="24"/>
          <w:szCs w:val="24"/>
          <w:highlight w:val="none"/>
          <w:lang w:eastAsia="zh-CN"/>
        </w:rPr>
        <w:t>不予退还</w:t>
      </w:r>
      <w:r>
        <w:rPr>
          <w:rFonts w:hint="eastAsia" w:asciiTheme="minorEastAsia" w:hAnsiTheme="minorEastAsia" w:eastAsiaTheme="minorEastAsia" w:cstheme="minorEastAsia"/>
          <w:color w:val="auto"/>
          <w:sz w:val="24"/>
          <w:szCs w:val="24"/>
          <w:highlight w:val="none"/>
        </w:rPr>
        <w:t>。</w:t>
      </w:r>
    </w:p>
    <w:p w14:paraId="6AFF2EEB">
      <w:pPr>
        <w:keepNext w:val="0"/>
        <w:keepLines w:val="0"/>
        <w:pageBreakBefore w:val="0"/>
        <w:kinsoku/>
        <w:overflowPunct/>
        <w:topLinePunct w:val="0"/>
        <w:autoSpaceDE/>
        <w:autoSpaceDN/>
        <w:bidi w:val="0"/>
        <w:adjustRightInd/>
        <w:snapToGrid/>
        <w:spacing w:line="42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5、我方承诺参加本项目投标前3年内无行贿犯罪记录、无失信记录，若有虚假或不实之处，我方将失去合格的投标人资格，且我方的投标保证金将不予以退还。</w:t>
      </w:r>
    </w:p>
    <w:p w14:paraId="74768EE7">
      <w:pPr>
        <w:keepNext w:val="0"/>
        <w:keepLines w:val="0"/>
        <w:pageBreakBefore w:val="0"/>
        <w:kinsoku/>
        <w:wordWrap w:val="0"/>
        <w:overflowPunct/>
        <w:topLinePunct w:val="0"/>
        <w:autoSpaceDE/>
        <w:autoSpaceDN/>
        <w:bidi w:val="0"/>
        <w:adjustRightInd/>
        <w:snapToGrid/>
        <w:spacing w:line="420" w:lineRule="exact"/>
        <w:ind w:firstLine="480"/>
        <w:textAlignment w:val="auto"/>
        <w:rPr>
          <w:rFonts w:hint="eastAsia" w:asciiTheme="minorEastAsia" w:hAnsiTheme="minorEastAsia" w:eastAsiaTheme="minorEastAsia" w:cstheme="minorEastAsia"/>
          <w:color w:val="auto"/>
          <w:sz w:val="24"/>
          <w:szCs w:val="24"/>
          <w:highlight w:val="none"/>
        </w:rPr>
      </w:pPr>
    </w:p>
    <w:p w14:paraId="255DB1C6">
      <w:pPr>
        <w:keepNext w:val="0"/>
        <w:keepLines w:val="0"/>
        <w:pageBreakBefore w:val="0"/>
        <w:kinsoku/>
        <w:wordWrap w:val="0"/>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3D617C1">
      <w:pPr>
        <w:keepNext w:val="0"/>
        <w:keepLines w:val="0"/>
        <w:pageBreakBefore w:val="0"/>
        <w:kinsoku/>
        <w:wordWrap w:val="0"/>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2DDE2DAF">
      <w:pPr>
        <w:keepNext w:val="0"/>
        <w:keepLines w:val="0"/>
        <w:pageBreakBefore w:val="0"/>
        <w:kinsoku/>
        <w:wordWrap w:val="0"/>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D757967">
      <w:pPr>
        <w:wordWrap w:val="0"/>
        <w:spacing w:line="400" w:lineRule="exact"/>
        <w:ind w:firstLine="480"/>
        <w:rPr>
          <w:rFonts w:hint="eastAsia" w:asciiTheme="minorEastAsia" w:hAnsiTheme="minorEastAsia" w:eastAsiaTheme="minorEastAsia" w:cstheme="minorEastAsia"/>
          <w:color w:val="auto"/>
          <w:sz w:val="24"/>
          <w:highlight w:val="none"/>
        </w:rPr>
      </w:pPr>
    </w:p>
    <w:p w14:paraId="0A082856">
      <w:pPr>
        <w:wordWrap w:val="0"/>
        <w:spacing w:line="400" w:lineRule="exact"/>
        <w:rPr>
          <w:rFonts w:hint="eastAsia" w:asciiTheme="minorEastAsia" w:hAnsiTheme="minorEastAsia" w:eastAsiaTheme="minorEastAsia" w:cstheme="minorEastAsia"/>
          <w:color w:val="auto"/>
          <w:sz w:val="24"/>
          <w:highlight w:val="none"/>
        </w:rPr>
      </w:pPr>
    </w:p>
    <w:p w14:paraId="12A713B0">
      <w:pPr>
        <w:pStyle w:val="49"/>
        <w:wordWrap w:val="0"/>
        <w:spacing w:line="400" w:lineRule="exact"/>
        <w:jc w:val="center"/>
        <w:outlineLvl w:val="9"/>
        <w:rPr>
          <w:rFonts w:hint="eastAsia" w:asciiTheme="minorEastAsia" w:hAnsiTheme="minorEastAsia" w:eastAsiaTheme="minorEastAsia" w:cstheme="minorEastAsia"/>
          <w:b/>
          <w:color w:val="auto"/>
          <w:sz w:val="36"/>
          <w:highlight w:val="none"/>
        </w:rPr>
      </w:pPr>
    </w:p>
    <w:p w14:paraId="03A62747">
      <w:pPr>
        <w:pStyle w:val="49"/>
        <w:wordWrap w:val="0"/>
        <w:spacing w:line="400" w:lineRule="exact"/>
        <w:jc w:val="center"/>
        <w:outlineLvl w:val="9"/>
        <w:rPr>
          <w:rFonts w:hint="eastAsia" w:asciiTheme="minorEastAsia" w:hAnsiTheme="minorEastAsia" w:eastAsiaTheme="minorEastAsia" w:cstheme="minorEastAsia"/>
          <w:b/>
          <w:color w:val="auto"/>
          <w:sz w:val="36"/>
          <w:highlight w:val="none"/>
        </w:rPr>
      </w:pPr>
    </w:p>
    <w:p w14:paraId="6C9D00FE">
      <w:pPr>
        <w:pStyle w:val="49"/>
        <w:wordWrap w:val="0"/>
        <w:spacing w:line="400" w:lineRule="exact"/>
        <w:jc w:val="center"/>
        <w:outlineLvl w:val="9"/>
        <w:rPr>
          <w:rFonts w:hint="eastAsia" w:asciiTheme="minorEastAsia" w:hAnsiTheme="minorEastAsia" w:eastAsiaTheme="minorEastAsia" w:cstheme="minorEastAsia"/>
          <w:b/>
          <w:color w:val="auto"/>
          <w:sz w:val="36"/>
          <w:highlight w:val="none"/>
        </w:rPr>
      </w:pPr>
    </w:p>
    <w:p w14:paraId="312905BA">
      <w:pPr>
        <w:pStyle w:val="49"/>
        <w:wordWrap w:val="0"/>
        <w:spacing w:line="400" w:lineRule="exact"/>
        <w:jc w:val="center"/>
        <w:outlineLvl w:val="9"/>
        <w:rPr>
          <w:rFonts w:hint="eastAsia" w:asciiTheme="minorEastAsia" w:hAnsiTheme="minorEastAsia" w:eastAsiaTheme="minorEastAsia" w:cstheme="minorEastAsia"/>
          <w:b/>
          <w:color w:val="auto"/>
          <w:sz w:val="36"/>
          <w:highlight w:val="none"/>
        </w:rPr>
      </w:pPr>
    </w:p>
    <w:p w14:paraId="3222529B">
      <w:pPr>
        <w:pStyle w:val="49"/>
        <w:wordWrap w:val="0"/>
        <w:spacing w:line="400" w:lineRule="exact"/>
        <w:jc w:val="center"/>
        <w:outlineLvl w:val="9"/>
        <w:rPr>
          <w:rFonts w:hint="eastAsia" w:asciiTheme="minorEastAsia" w:hAnsiTheme="minorEastAsia" w:eastAsiaTheme="minorEastAsia" w:cstheme="minorEastAsia"/>
          <w:b/>
          <w:color w:val="auto"/>
          <w:sz w:val="36"/>
          <w:highlight w:val="none"/>
        </w:rPr>
      </w:pPr>
    </w:p>
    <w:p w14:paraId="393F32EA">
      <w:pPr>
        <w:pStyle w:val="26"/>
        <w:spacing w:before="0" w:beforeAutospacing="0" w:after="0" w:afterAutospacing="0" w:line="400" w:lineRule="exact"/>
        <w:ind w:left="-362" w:right="-362"/>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195C32C2">
      <w:pPr>
        <w:pStyle w:val="26"/>
        <w:spacing w:before="0" w:beforeAutospacing="0" w:after="0" w:afterAutospacing="0" w:line="400" w:lineRule="exact"/>
        <w:ind w:left="-362" w:right="-36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2"/>
          <w:sz w:val="36"/>
          <w:highlight w:val="none"/>
          <w:lang w:val="en-US" w:eastAsia="zh-CN"/>
        </w:rPr>
        <w:t>5、</w:t>
      </w:r>
      <w:r>
        <w:rPr>
          <w:rFonts w:hint="eastAsia" w:asciiTheme="minorEastAsia" w:hAnsiTheme="minorEastAsia" w:eastAsiaTheme="minorEastAsia" w:cstheme="minorEastAsia"/>
          <w:b/>
          <w:color w:val="auto"/>
          <w:kern w:val="2"/>
          <w:sz w:val="36"/>
          <w:highlight w:val="none"/>
        </w:rPr>
        <w:t>法定代表人授权书</w:t>
      </w:r>
    </w:p>
    <w:p w14:paraId="1B9021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致:福建鼎御招标有限公司</w:t>
      </w:r>
    </w:p>
    <w:p w14:paraId="20DA8F9F">
      <w:pPr>
        <w:pStyle w:val="26"/>
        <w:spacing w:before="0" w:beforeAutospacing="0" w:after="0" w:afterAutospacing="0"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我方的法定代表人</w:t>
      </w:r>
      <w:r>
        <w:rPr>
          <w:rFonts w:hint="eastAsia" w:asciiTheme="minorEastAsia" w:hAnsiTheme="minorEastAsia" w:eastAsiaTheme="minorEastAsia" w:cstheme="minorEastAsia"/>
          <w:color w:val="auto"/>
          <w:sz w:val="24"/>
          <w:szCs w:val="24"/>
          <w:highlight w:val="none"/>
          <w:u w:val="single"/>
          <w:shd w:val="clear" w:color="auto" w:fill="FFFFFF"/>
        </w:rPr>
        <w:t>(填写“法定代表人全名”)</w:t>
      </w:r>
      <w:r>
        <w:rPr>
          <w:rFonts w:hint="eastAsia" w:asciiTheme="minorEastAsia" w:hAnsiTheme="minorEastAsia" w:eastAsiaTheme="minorEastAsia" w:cstheme="minorEastAsia"/>
          <w:color w:val="auto"/>
          <w:sz w:val="24"/>
          <w:szCs w:val="24"/>
          <w:highlight w:val="none"/>
          <w:shd w:val="clear" w:color="auto" w:fill="FFFFFF"/>
        </w:rPr>
        <w:t>授权</w:t>
      </w:r>
      <w:r>
        <w:rPr>
          <w:rFonts w:hint="eastAsia" w:asciiTheme="minorEastAsia" w:hAnsiTheme="minorEastAsia" w:eastAsiaTheme="minorEastAsia" w:cstheme="minorEastAsia"/>
          <w:color w:val="auto"/>
          <w:sz w:val="24"/>
          <w:szCs w:val="24"/>
          <w:highlight w:val="none"/>
          <w:u w:val="single"/>
          <w:shd w:val="clear" w:color="auto" w:fill="FFFFFF"/>
        </w:rPr>
        <w:t>(填写“投标人代表全名”)</w:t>
      </w:r>
      <w:r>
        <w:rPr>
          <w:rFonts w:hint="eastAsia" w:asciiTheme="minorEastAsia" w:hAnsiTheme="minorEastAsia" w:eastAsiaTheme="minorEastAsia" w:cstheme="minorEastAsia"/>
          <w:color w:val="auto"/>
          <w:sz w:val="24"/>
          <w:szCs w:val="24"/>
          <w:highlight w:val="none"/>
          <w:shd w:val="clear" w:color="auto" w:fill="FFFFFF"/>
        </w:rPr>
        <w:t>为投标人代表，代表我方参加</w:t>
      </w:r>
      <w:r>
        <w:rPr>
          <w:rFonts w:hint="eastAsia" w:asciiTheme="minorEastAsia" w:hAnsiTheme="minorEastAsia" w:eastAsiaTheme="minorEastAsia" w:cstheme="minorEastAsia"/>
          <w:color w:val="auto"/>
          <w:sz w:val="24"/>
          <w:szCs w:val="24"/>
          <w:highlight w:val="none"/>
          <w:u w:val="single"/>
          <w:shd w:val="clear" w:color="auto" w:fill="FFFFFF"/>
        </w:rPr>
        <w:t>(填写“项目名称”)</w:t>
      </w:r>
      <w:r>
        <w:rPr>
          <w:rFonts w:hint="eastAsia" w:asciiTheme="minorEastAsia" w:hAnsiTheme="minorEastAsia" w:eastAsiaTheme="minorEastAsia" w:cstheme="minorEastAsia"/>
          <w:color w:val="auto"/>
          <w:sz w:val="24"/>
          <w:szCs w:val="24"/>
          <w:highlight w:val="none"/>
          <w:shd w:val="clear" w:color="auto" w:fill="FFFFFF"/>
        </w:rPr>
        <w:t>项目(招标编号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)的投标，全权代表我方处理投标过程的一切事宜，包括但不限于</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投标、参加开标、谈判、澄清、签约等。投标人代表在投标过程中所签署的一切文件和处理与之有关的一切事务，我方均予以认可并对此承担责任。</w:t>
      </w:r>
    </w:p>
    <w:p w14:paraId="66D7794D">
      <w:pPr>
        <w:pStyle w:val="26"/>
        <w:spacing w:before="0" w:beforeAutospacing="0" w:after="0" w:afterAutospacing="0" w:line="400" w:lineRule="exact"/>
        <w:ind w:left="-362" w:right="-362"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投标人代表无转委权。特此授权。</w:t>
      </w:r>
    </w:p>
    <w:p w14:paraId="65A1CF66">
      <w:pPr>
        <w:pStyle w:val="26"/>
        <w:spacing w:before="0" w:beforeAutospacing="0" w:after="0" w:afterAutospacing="0" w:line="400" w:lineRule="exact"/>
        <w:ind w:left="-362" w:right="-36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(以下无正文)</w:t>
      </w:r>
    </w:p>
    <w:p w14:paraId="41B110CC">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法定代表人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身份证号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xml:space="preserve">              </w:t>
      </w:r>
      <w:r>
        <w:rPr>
          <w:rFonts w:hint="eastAsia" w:asciiTheme="minorEastAsia" w:hAnsiTheme="minorEastAsia" w:eastAsiaTheme="minorEastAsia" w:cstheme="minorEastAsia"/>
          <w:color w:val="auto"/>
          <w:sz w:val="24"/>
          <w:szCs w:val="24"/>
          <w:highlight w:val="none"/>
          <w:shd w:val="clear" w:color="auto" w:fill="FFFFFF"/>
        </w:rPr>
        <w:t>手机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FFFFFF"/>
        </w:rPr>
        <w:t> </w:t>
      </w:r>
    </w:p>
    <w:p w14:paraId="6F51CA8F">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身份证号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手机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shd w:val="clear" w:color="auto" w:fill="FFFFFF"/>
        </w:rPr>
        <w:t> </w:t>
      </w:r>
    </w:p>
    <w:p w14:paraId="5CC187E7">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授权方</w:t>
      </w:r>
    </w:p>
    <w:p w14:paraId="1C2862AB">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(全称并加盖单位公章)</w:t>
      </w:r>
    </w:p>
    <w:p w14:paraId="1E6502A1">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法定代表人签字或盖章</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p w14:paraId="2EB69595">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shd w:val="clear" w:color="auto" w:fill="FFFFFF"/>
        </w:rPr>
      </w:pPr>
    </w:p>
    <w:p w14:paraId="06EB342F">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接受授权方</w:t>
      </w:r>
    </w:p>
    <w:p w14:paraId="46BF3836">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投标人代表签字</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p w14:paraId="3DC7082B">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w:t>
      </w:r>
    </w:p>
    <w:p w14:paraId="6B8B9890">
      <w:pPr>
        <w:pStyle w:val="26"/>
        <w:spacing w:before="0" w:beforeAutospacing="0" w:after="0" w:afterAutospacing="0" w:line="400" w:lineRule="exact"/>
        <w:ind w:right="80" w:rightChars="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签署日期</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年</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月</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日</w:t>
      </w:r>
    </w:p>
    <w:p w14:paraId="2081EFE8">
      <w:pPr>
        <w:pStyle w:val="26"/>
        <w:spacing w:before="0" w:beforeAutospacing="0" w:after="0" w:afterAutospacing="0" w:line="400" w:lineRule="exact"/>
        <w:ind w:righ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附</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法定代表人、投标人代表的身份证正反面复印件</w:t>
      </w:r>
    </w:p>
    <w:tbl>
      <w:tblPr>
        <w:tblStyle w:val="32"/>
        <w:tblW w:w="9148"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148"/>
      </w:tblGrid>
      <w:tr w14:paraId="08D3E56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614" w:hRule="atLeast"/>
          <w:jc w:val="center"/>
        </w:trPr>
        <w:tc>
          <w:tcPr>
            <w:tcW w:w="914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244AD3">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rPr>
              <w:t> </w:t>
            </w:r>
          </w:p>
          <w:p w14:paraId="47A9C6F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rPr>
              <w:t>要求</w:t>
            </w:r>
            <w:r>
              <w:rPr>
                <w:rStyle w:val="35"/>
                <w:rFonts w:hint="eastAsia" w:asciiTheme="minorEastAsia" w:hAnsiTheme="minorEastAsia" w:eastAsiaTheme="minorEastAsia" w:cstheme="minorEastAsia"/>
                <w:color w:val="auto"/>
                <w:sz w:val="24"/>
                <w:szCs w:val="24"/>
                <w:highlight w:val="none"/>
                <w:lang w:eastAsia="zh-CN"/>
              </w:rPr>
              <w:t>:</w:t>
            </w:r>
            <w:r>
              <w:rPr>
                <w:rStyle w:val="35"/>
                <w:rFonts w:hint="eastAsia" w:asciiTheme="minorEastAsia" w:hAnsiTheme="minorEastAsia" w:eastAsiaTheme="minorEastAsia" w:cstheme="minorEastAsia"/>
                <w:color w:val="auto"/>
                <w:sz w:val="24"/>
                <w:szCs w:val="24"/>
                <w:highlight w:val="none"/>
              </w:rPr>
              <w:t>真实有效且内容完整、清晰、整洁。</w:t>
            </w:r>
          </w:p>
          <w:p w14:paraId="2493EE4E">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rPr>
              <w:t> </w:t>
            </w:r>
          </w:p>
        </w:tc>
      </w:tr>
    </w:tbl>
    <w:p w14:paraId="305DF3BE">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right="-36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注意</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56DF052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right="80" w:rightChars="0"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1</w:t>
      </w:r>
      <w:r>
        <w:rPr>
          <w:rFonts w:hint="eastAsia" w:asciiTheme="minorEastAsia" w:hAnsiTheme="minorEastAsia" w:eastAsiaTheme="minorEastAsia" w:cstheme="minorEastAsia"/>
          <w:color w:val="auto"/>
          <w:sz w:val="24"/>
          <w:szCs w:val="24"/>
          <w:highlight w:val="none"/>
          <w:shd w:val="clear" w:color="auto" w:fill="FFFFFF"/>
        </w:rPr>
        <w:t>、若投标人代表为法定代表人授权的委托代理人，应提供本授权书；若投标人代表为法定代表人，应在此项下提交其身份证正反面复印件，可不提供本授权书。</w:t>
      </w:r>
    </w:p>
    <w:p w14:paraId="1460245E">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right="80" w:rightChars="0" w:firstLine="480" w:firstLineChars="200"/>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2</w:t>
      </w:r>
      <w:r>
        <w:rPr>
          <w:rFonts w:hint="eastAsia" w:asciiTheme="minorEastAsia" w:hAnsiTheme="minorEastAsia" w:eastAsiaTheme="minorEastAsia" w:cstheme="minorEastAsia"/>
          <w:color w:val="auto"/>
          <w:sz w:val="24"/>
          <w:szCs w:val="24"/>
          <w:highlight w:val="none"/>
          <w:shd w:val="clear" w:color="auto" w:fill="FFFFFF"/>
        </w:rPr>
        <w:t>、投标文件正本中的本授权书(若有)应为原件。</w:t>
      </w:r>
    </w:p>
    <w:p w14:paraId="31574350">
      <w:pPr>
        <w:pStyle w:val="26"/>
        <w:spacing w:before="0" w:beforeAutospacing="0" w:after="0" w:afterAutospacing="0" w:line="400" w:lineRule="exact"/>
        <w:ind w:right="-363"/>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br w:type="page"/>
      </w:r>
    </w:p>
    <w:p w14:paraId="64F1C847">
      <w:pPr>
        <w:pStyle w:val="26"/>
        <w:spacing w:before="0" w:beforeAutospacing="0" w:after="0" w:afterAutospacing="0" w:line="400" w:lineRule="exact"/>
        <w:ind w:right="-363"/>
        <w:jc w:val="center"/>
        <w:rPr>
          <w:rFonts w:hint="eastAsia" w:asciiTheme="minorEastAsia" w:hAnsiTheme="minorEastAsia" w:eastAsiaTheme="minorEastAsia" w:cstheme="minorEastAsia"/>
          <w:b/>
          <w:color w:val="auto"/>
          <w:kern w:val="2"/>
          <w:sz w:val="36"/>
          <w:highlight w:val="none"/>
        </w:rPr>
      </w:pPr>
      <w:r>
        <w:rPr>
          <w:rFonts w:hint="eastAsia" w:asciiTheme="minorEastAsia" w:hAnsiTheme="minorEastAsia" w:eastAsiaTheme="minorEastAsia" w:cstheme="minorEastAsia"/>
          <w:b/>
          <w:color w:val="auto"/>
          <w:kern w:val="2"/>
          <w:sz w:val="36"/>
          <w:highlight w:val="none"/>
          <w:lang w:val="en-US" w:eastAsia="zh-CN"/>
        </w:rPr>
        <w:t>6、</w:t>
      </w:r>
      <w:r>
        <w:rPr>
          <w:rFonts w:hint="eastAsia" w:asciiTheme="minorEastAsia" w:hAnsiTheme="minorEastAsia" w:eastAsiaTheme="minorEastAsia" w:cstheme="minorEastAsia"/>
          <w:b/>
          <w:color w:val="auto"/>
          <w:kern w:val="2"/>
          <w:sz w:val="36"/>
          <w:highlight w:val="none"/>
        </w:rPr>
        <w:t>营业执照等证明文件</w:t>
      </w:r>
    </w:p>
    <w:p w14:paraId="6A1951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lang w:eastAsia="zh-CN"/>
        </w:rPr>
        <w:t>致:福建鼎御招标有限公司</w:t>
      </w:r>
    </w:p>
    <w:p w14:paraId="3A0E32F4">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)投标人为法人(包括企业、事业单位和社会团体)的</w:t>
      </w:r>
    </w:p>
    <w:p w14:paraId="5286593A">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现附上由</w:t>
      </w:r>
      <w:r>
        <w:rPr>
          <w:rFonts w:hint="eastAsia" w:asciiTheme="minorEastAsia" w:hAnsiTheme="minorEastAsia" w:eastAsiaTheme="minorEastAsia" w:cstheme="minorEastAsia"/>
          <w:color w:val="auto"/>
          <w:sz w:val="24"/>
          <w:szCs w:val="24"/>
          <w:highlight w:val="none"/>
          <w:u w:val="single"/>
          <w:shd w:val="clear" w:color="auto" w:fill="FFFFFF"/>
        </w:rPr>
        <w:t>(填写“签发机关全称”)</w:t>
      </w:r>
      <w:r>
        <w:rPr>
          <w:rFonts w:hint="eastAsia" w:asciiTheme="minorEastAsia" w:hAnsiTheme="minorEastAsia" w:eastAsiaTheme="minorEastAsia" w:cstheme="minorEastAsia"/>
          <w:color w:val="auto"/>
          <w:sz w:val="24"/>
          <w:szCs w:val="24"/>
          <w:highlight w:val="none"/>
          <w:shd w:val="clear" w:color="auto" w:fill="FFFFFF"/>
        </w:rPr>
        <w:t>签发的我方统一社会信用代码</w:t>
      </w:r>
      <w:r>
        <w:rPr>
          <w:rFonts w:hint="eastAsia" w:asciiTheme="minorEastAsia" w:hAnsiTheme="minorEastAsia" w:eastAsiaTheme="minorEastAsia" w:cstheme="minorEastAsia"/>
          <w:color w:val="auto"/>
          <w:sz w:val="24"/>
          <w:szCs w:val="24"/>
          <w:highlight w:val="none"/>
          <w:u w:val="single"/>
          <w:shd w:val="clear" w:color="auto" w:fill="FFFFFF"/>
        </w:rPr>
        <w:t>(请填写法人的具体证照名称)</w:t>
      </w:r>
      <w:r>
        <w:rPr>
          <w:rFonts w:hint="eastAsia" w:asciiTheme="minorEastAsia" w:hAnsiTheme="minorEastAsia" w:eastAsiaTheme="minorEastAsia" w:cstheme="minorEastAsia"/>
          <w:color w:val="auto"/>
          <w:sz w:val="24"/>
          <w:szCs w:val="24"/>
          <w:highlight w:val="none"/>
          <w:shd w:val="clear" w:color="auto" w:fill="FFFFFF"/>
        </w:rPr>
        <w:t>复印件，该证明材料真实有效，否则我方负全部责任。</w:t>
      </w:r>
    </w:p>
    <w:p w14:paraId="6778EEAE">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)投标人为非法人(包括其他组织、自然人)的</w:t>
      </w:r>
    </w:p>
    <w:p w14:paraId="02F0DC0C">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□现附上由</w:t>
      </w:r>
      <w:r>
        <w:rPr>
          <w:rFonts w:hint="eastAsia" w:asciiTheme="minorEastAsia" w:hAnsiTheme="minorEastAsia" w:eastAsiaTheme="minorEastAsia" w:cstheme="minorEastAsia"/>
          <w:color w:val="auto"/>
          <w:sz w:val="24"/>
          <w:szCs w:val="24"/>
          <w:highlight w:val="none"/>
          <w:u w:val="single"/>
          <w:shd w:val="clear" w:color="auto" w:fill="FFFFFF"/>
        </w:rPr>
        <w:t>(填写“签发机关全称”)</w:t>
      </w:r>
      <w:r>
        <w:rPr>
          <w:rFonts w:hint="eastAsia" w:asciiTheme="minorEastAsia" w:hAnsiTheme="minorEastAsia" w:eastAsiaTheme="minorEastAsia" w:cstheme="minorEastAsia"/>
          <w:color w:val="auto"/>
          <w:sz w:val="24"/>
          <w:szCs w:val="24"/>
          <w:highlight w:val="none"/>
          <w:shd w:val="clear" w:color="auto" w:fill="FFFFFF"/>
        </w:rPr>
        <w:t>签发的我方</w:t>
      </w:r>
      <w:r>
        <w:rPr>
          <w:rFonts w:hint="eastAsia" w:asciiTheme="minorEastAsia" w:hAnsiTheme="minorEastAsia" w:eastAsiaTheme="minorEastAsia" w:cstheme="minorEastAsia"/>
          <w:color w:val="auto"/>
          <w:sz w:val="24"/>
          <w:szCs w:val="24"/>
          <w:highlight w:val="none"/>
          <w:u w:val="single"/>
          <w:shd w:val="clear" w:color="auto" w:fill="FFFFFF"/>
        </w:rPr>
        <w:t>(请填写非自然人的非法人的具体证照名称)</w:t>
      </w:r>
      <w:r>
        <w:rPr>
          <w:rFonts w:hint="eastAsia" w:asciiTheme="minorEastAsia" w:hAnsiTheme="minorEastAsia" w:eastAsiaTheme="minorEastAsia" w:cstheme="minorEastAsia"/>
          <w:color w:val="auto"/>
          <w:sz w:val="24"/>
          <w:szCs w:val="24"/>
          <w:highlight w:val="none"/>
          <w:shd w:val="clear" w:color="auto" w:fill="FFFFFF"/>
        </w:rPr>
        <w:t>复印件，该证明材料真实有效，否则我方负全部责任。</w:t>
      </w:r>
    </w:p>
    <w:p w14:paraId="3B998A70">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□现附上由</w:t>
      </w:r>
      <w:r>
        <w:rPr>
          <w:rFonts w:hint="eastAsia" w:asciiTheme="minorEastAsia" w:hAnsiTheme="minorEastAsia" w:eastAsiaTheme="minorEastAsia" w:cstheme="minorEastAsia"/>
          <w:color w:val="auto"/>
          <w:sz w:val="24"/>
          <w:szCs w:val="24"/>
          <w:highlight w:val="none"/>
          <w:u w:val="single"/>
          <w:shd w:val="clear" w:color="auto" w:fill="FFFFFF"/>
        </w:rPr>
        <w:t>(填写“签发机关全称”)</w:t>
      </w:r>
      <w:r>
        <w:rPr>
          <w:rFonts w:hint="eastAsia" w:asciiTheme="minorEastAsia" w:hAnsiTheme="minorEastAsia" w:eastAsiaTheme="minorEastAsia" w:cstheme="minorEastAsia"/>
          <w:color w:val="auto"/>
          <w:sz w:val="24"/>
          <w:szCs w:val="24"/>
          <w:highlight w:val="none"/>
          <w:shd w:val="clear" w:color="auto" w:fill="FFFFFF"/>
        </w:rPr>
        <w:t>签发的我方</w:t>
      </w:r>
      <w:r>
        <w:rPr>
          <w:rFonts w:hint="eastAsia" w:asciiTheme="minorEastAsia" w:hAnsiTheme="minorEastAsia" w:eastAsiaTheme="minorEastAsia" w:cstheme="minorEastAsia"/>
          <w:color w:val="auto"/>
          <w:sz w:val="24"/>
          <w:szCs w:val="24"/>
          <w:highlight w:val="none"/>
          <w:u w:val="single"/>
          <w:shd w:val="clear" w:color="auto" w:fill="FFFFFF"/>
        </w:rPr>
        <w:t>(请填写自然人的身份证件名称)</w:t>
      </w:r>
      <w:r>
        <w:rPr>
          <w:rFonts w:hint="eastAsia" w:asciiTheme="minorEastAsia" w:hAnsiTheme="minorEastAsia" w:eastAsiaTheme="minorEastAsia" w:cstheme="minorEastAsia"/>
          <w:color w:val="auto"/>
          <w:sz w:val="24"/>
          <w:szCs w:val="24"/>
          <w:highlight w:val="none"/>
          <w:shd w:val="clear" w:color="auto" w:fill="FFFFFF"/>
        </w:rPr>
        <w:t>复印件，该证明材料真实有效，否则我方负全部责任。</w:t>
      </w:r>
    </w:p>
    <w:p w14:paraId="7DA27A21">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w:t>
      </w:r>
    </w:p>
    <w:p w14:paraId="740B316B">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注意</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2A9A7785">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1、请投标人按照实际情况编制填写，在相应的()中打“√”并选择相应的“□”(若有)后，再按照本格式的要求提供相应证明材料的复印件。</w:t>
      </w:r>
    </w:p>
    <w:p w14:paraId="4E4E49DB">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CFA79BE">
      <w:pPr>
        <w:pStyle w:val="26"/>
        <w:spacing w:before="0" w:beforeAutospacing="0" w:after="0" w:afterAutospacing="0" w:line="400" w:lineRule="exact"/>
        <w:ind w:right="-36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3、投标人提供的相应证明材料复印件均应符合</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内容完整、清晰、整洁，并由投标人加盖其单位公章。</w:t>
      </w:r>
    </w:p>
    <w:p w14:paraId="722F2052">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w:t>
      </w:r>
    </w:p>
    <w:p w14:paraId="54123522">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 </w:t>
      </w:r>
    </w:p>
    <w:p w14:paraId="3D23658C">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(全称并加盖单位公章)</w:t>
      </w:r>
    </w:p>
    <w:p w14:paraId="72361BAB">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投标人代表签字</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p w14:paraId="7692F8C2">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日期</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年</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月</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日</w:t>
      </w:r>
    </w:p>
    <w:p w14:paraId="0E11033B">
      <w:pPr>
        <w:wordWrap w:val="0"/>
        <w:spacing w:line="400" w:lineRule="exact"/>
        <w:rPr>
          <w:rFonts w:hint="eastAsia" w:asciiTheme="minorEastAsia" w:hAnsiTheme="minorEastAsia" w:eastAsiaTheme="minorEastAsia" w:cstheme="minorEastAsia"/>
          <w:color w:val="auto"/>
          <w:szCs w:val="21"/>
          <w:highlight w:val="none"/>
        </w:rPr>
      </w:pPr>
    </w:p>
    <w:p w14:paraId="43FC9891">
      <w:pPr>
        <w:wordWrap w:val="0"/>
        <w:spacing w:line="400" w:lineRule="exact"/>
        <w:jc w:val="center"/>
        <w:rPr>
          <w:rFonts w:hint="eastAsia" w:asciiTheme="minorEastAsia" w:hAnsiTheme="minorEastAsia" w:eastAsiaTheme="minorEastAsia" w:cstheme="minorEastAsia"/>
          <w:b/>
          <w:bCs/>
          <w:color w:val="auto"/>
          <w:sz w:val="36"/>
          <w:highlight w:val="none"/>
        </w:rPr>
      </w:pPr>
    </w:p>
    <w:p w14:paraId="464A595E">
      <w:pPr>
        <w:wordWrap w:val="0"/>
        <w:spacing w:line="400" w:lineRule="exact"/>
        <w:jc w:val="center"/>
        <w:rPr>
          <w:rFonts w:hint="eastAsia" w:asciiTheme="minorEastAsia" w:hAnsiTheme="minorEastAsia" w:eastAsiaTheme="minorEastAsia" w:cstheme="minorEastAsia"/>
          <w:b/>
          <w:bCs/>
          <w:color w:val="auto"/>
          <w:sz w:val="36"/>
          <w:highlight w:val="none"/>
        </w:rPr>
      </w:pPr>
    </w:p>
    <w:p w14:paraId="13BDF09E">
      <w:pPr>
        <w:wordWrap w:val="0"/>
        <w:spacing w:line="400" w:lineRule="exact"/>
        <w:jc w:val="center"/>
        <w:rPr>
          <w:rFonts w:hint="eastAsia" w:asciiTheme="minorEastAsia" w:hAnsiTheme="minorEastAsia" w:eastAsiaTheme="minorEastAsia" w:cstheme="minorEastAsia"/>
          <w:b/>
          <w:bCs/>
          <w:color w:val="auto"/>
          <w:sz w:val="36"/>
          <w:highlight w:val="none"/>
        </w:rPr>
      </w:pPr>
    </w:p>
    <w:p w14:paraId="55622E9E">
      <w:pPr>
        <w:wordWrap w:val="0"/>
        <w:spacing w:line="400" w:lineRule="exact"/>
        <w:jc w:val="center"/>
        <w:rPr>
          <w:rFonts w:hint="eastAsia" w:asciiTheme="minorEastAsia" w:hAnsiTheme="minorEastAsia" w:eastAsiaTheme="minorEastAsia" w:cstheme="minorEastAsia"/>
          <w:b/>
          <w:bCs/>
          <w:color w:val="auto"/>
          <w:sz w:val="36"/>
          <w:highlight w:val="none"/>
        </w:rPr>
      </w:pPr>
    </w:p>
    <w:p w14:paraId="1B2A21EF">
      <w:pPr>
        <w:wordWrap w:val="0"/>
        <w:spacing w:line="400" w:lineRule="exact"/>
        <w:jc w:val="center"/>
        <w:rPr>
          <w:rFonts w:hint="eastAsia" w:asciiTheme="minorEastAsia" w:hAnsiTheme="minorEastAsia" w:eastAsiaTheme="minorEastAsia" w:cstheme="minorEastAsia"/>
          <w:b/>
          <w:bCs/>
          <w:color w:val="auto"/>
          <w:sz w:val="36"/>
          <w:highlight w:val="none"/>
        </w:rPr>
      </w:pPr>
    </w:p>
    <w:p w14:paraId="51FF9AD2">
      <w:pPr>
        <w:spacing w:line="400" w:lineRule="exact"/>
        <w:jc w:val="center"/>
        <w:rPr>
          <w:rFonts w:hint="eastAsia" w:asciiTheme="minorEastAsia" w:hAnsiTheme="minorEastAsia" w:eastAsiaTheme="minorEastAsia" w:cstheme="minorEastAsia"/>
          <w:b/>
          <w:bCs/>
          <w:color w:val="auto"/>
          <w:sz w:val="36"/>
          <w:highlight w:val="none"/>
          <w:lang w:val="en-US" w:eastAsia="zh-CN"/>
        </w:rPr>
      </w:pPr>
      <w:r>
        <w:rPr>
          <w:rFonts w:hint="eastAsia" w:asciiTheme="minorEastAsia" w:hAnsiTheme="minorEastAsia" w:eastAsiaTheme="minorEastAsia" w:cstheme="minorEastAsia"/>
          <w:b/>
          <w:color w:val="auto"/>
          <w:sz w:val="32"/>
          <w:szCs w:val="32"/>
          <w:highlight w:val="none"/>
        </w:rPr>
        <w:br w:type="page"/>
      </w:r>
    </w:p>
    <w:p w14:paraId="53B55DF6">
      <w:pPr>
        <w:wordWrap w:val="0"/>
        <w:spacing w:line="400" w:lineRule="exact"/>
        <w:jc w:val="center"/>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lang w:val="en-US" w:eastAsia="zh-CN"/>
        </w:rPr>
        <w:t>7、</w:t>
      </w:r>
      <w:r>
        <w:rPr>
          <w:rFonts w:hint="eastAsia" w:asciiTheme="minorEastAsia" w:hAnsiTheme="minorEastAsia" w:eastAsiaTheme="minorEastAsia" w:cstheme="minorEastAsia"/>
          <w:b/>
          <w:bCs/>
          <w:color w:val="auto"/>
          <w:sz w:val="36"/>
          <w:highlight w:val="none"/>
        </w:rPr>
        <w:t>投标保证金复印件</w:t>
      </w:r>
    </w:p>
    <w:p w14:paraId="16FF7CBD">
      <w:pPr>
        <w:wordWrap w:val="0"/>
        <w:spacing w:line="400" w:lineRule="exact"/>
        <w:jc w:val="center"/>
        <w:rPr>
          <w:rFonts w:hint="eastAsia" w:asciiTheme="minorEastAsia" w:hAnsiTheme="minorEastAsia" w:eastAsiaTheme="minorEastAsia" w:cstheme="minorEastAsia"/>
          <w:b/>
          <w:bCs/>
          <w:color w:val="auto"/>
          <w:sz w:val="36"/>
          <w:highlight w:val="none"/>
        </w:rPr>
      </w:pPr>
    </w:p>
    <w:p w14:paraId="56C056A5">
      <w:pPr>
        <w:wordWrap w:val="0"/>
        <w:spacing w:line="400" w:lineRule="exact"/>
        <w:jc w:val="center"/>
        <w:rPr>
          <w:rFonts w:hint="eastAsia" w:asciiTheme="minorEastAsia" w:hAnsiTheme="minorEastAsia" w:eastAsiaTheme="minorEastAsia" w:cstheme="minorEastAsia"/>
          <w:b/>
          <w:bCs/>
          <w:color w:val="auto"/>
          <w:sz w:val="36"/>
          <w:highlight w:val="none"/>
        </w:rPr>
      </w:pPr>
    </w:p>
    <w:p w14:paraId="0E7BF211">
      <w:pPr>
        <w:wordWrap w:val="0"/>
        <w:spacing w:line="400" w:lineRule="exact"/>
        <w:jc w:val="center"/>
        <w:rPr>
          <w:rFonts w:hint="eastAsia" w:asciiTheme="minorEastAsia" w:hAnsiTheme="minorEastAsia" w:eastAsiaTheme="minorEastAsia" w:cstheme="minorEastAsia"/>
          <w:b/>
          <w:bCs/>
          <w:color w:val="auto"/>
          <w:sz w:val="36"/>
          <w:highlight w:val="none"/>
        </w:rPr>
      </w:pPr>
    </w:p>
    <w:p w14:paraId="3F1771F9">
      <w:pPr>
        <w:wordWrap w:val="0"/>
        <w:spacing w:line="400" w:lineRule="exact"/>
        <w:jc w:val="center"/>
        <w:rPr>
          <w:rFonts w:hint="eastAsia" w:asciiTheme="minorEastAsia" w:hAnsiTheme="minorEastAsia" w:eastAsiaTheme="minorEastAsia" w:cstheme="minorEastAsia"/>
          <w:b/>
          <w:bCs/>
          <w:color w:val="auto"/>
          <w:sz w:val="36"/>
          <w:highlight w:val="none"/>
        </w:rPr>
      </w:pPr>
    </w:p>
    <w:p w14:paraId="4651945C">
      <w:pPr>
        <w:wordWrap w:val="0"/>
        <w:spacing w:line="400" w:lineRule="exact"/>
        <w:jc w:val="center"/>
        <w:rPr>
          <w:rFonts w:hint="eastAsia" w:asciiTheme="minorEastAsia" w:hAnsiTheme="minorEastAsia" w:eastAsiaTheme="minorEastAsia" w:cstheme="minorEastAsia"/>
          <w:b/>
          <w:bCs/>
          <w:color w:val="auto"/>
          <w:sz w:val="36"/>
          <w:highlight w:val="none"/>
        </w:rPr>
      </w:pPr>
    </w:p>
    <w:p w14:paraId="16DFB285">
      <w:pPr>
        <w:wordWrap w:val="0"/>
        <w:spacing w:line="400" w:lineRule="exact"/>
        <w:jc w:val="center"/>
        <w:rPr>
          <w:rFonts w:hint="eastAsia" w:asciiTheme="minorEastAsia" w:hAnsiTheme="minorEastAsia" w:eastAsiaTheme="minorEastAsia" w:cstheme="minorEastAsia"/>
          <w:b/>
          <w:bCs/>
          <w:color w:val="auto"/>
          <w:sz w:val="36"/>
          <w:highlight w:val="none"/>
        </w:rPr>
      </w:pPr>
    </w:p>
    <w:p w14:paraId="6D1DB01D">
      <w:pPr>
        <w:wordWrap w:val="0"/>
        <w:spacing w:line="400" w:lineRule="exact"/>
        <w:jc w:val="center"/>
        <w:rPr>
          <w:rFonts w:hint="eastAsia" w:asciiTheme="minorEastAsia" w:hAnsiTheme="minorEastAsia" w:eastAsiaTheme="minorEastAsia" w:cstheme="minorEastAsia"/>
          <w:b/>
          <w:bCs/>
          <w:color w:val="auto"/>
          <w:sz w:val="36"/>
          <w:highlight w:val="none"/>
        </w:rPr>
      </w:pPr>
    </w:p>
    <w:p w14:paraId="656ECC88">
      <w:pPr>
        <w:wordWrap w:val="0"/>
        <w:spacing w:line="400" w:lineRule="exact"/>
        <w:jc w:val="center"/>
        <w:rPr>
          <w:rFonts w:hint="eastAsia" w:asciiTheme="minorEastAsia" w:hAnsiTheme="minorEastAsia" w:eastAsiaTheme="minorEastAsia" w:cstheme="minorEastAsia"/>
          <w:b/>
          <w:bCs/>
          <w:color w:val="auto"/>
          <w:sz w:val="24"/>
          <w:szCs w:val="24"/>
          <w:highlight w:val="none"/>
        </w:rPr>
      </w:pPr>
    </w:p>
    <w:p w14:paraId="4EE27FC0">
      <w:pPr>
        <w:wordWrap w:val="0"/>
        <w:spacing w:line="400" w:lineRule="exact"/>
        <w:jc w:val="center"/>
        <w:rPr>
          <w:rFonts w:hint="eastAsia" w:asciiTheme="minorEastAsia" w:hAnsiTheme="minorEastAsia" w:eastAsiaTheme="minorEastAsia" w:cstheme="minorEastAsia"/>
          <w:b/>
          <w:bCs/>
          <w:color w:val="auto"/>
          <w:sz w:val="24"/>
          <w:szCs w:val="24"/>
          <w:highlight w:val="none"/>
        </w:rPr>
      </w:pPr>
    </w:p>
    <w:p w14:paraId="6412462A">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p>
    <w:p w14:paraId="0C689D0B">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2F24A17">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065EB668">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5E84AC92">
      <w:pPr>
        <w:spacing w:line="400" w:lineRule="exact"/>
        <w:jc w:val="center"/>
        <w:rPr>
          <w:rFonts w:hint="eastAsia" w:asciiTheme="minorEastAsia" w:hAnsiTheme="minorEastAsia" w:eastAsiaTheme="minorEastAsia" w:cstheme="minorEastAsia"/>
          <w:b/>
          <w:bCs/>
          <w:color w:val="auto"/>
          <w:sz w:val="84"/>
          <w:szCs w:val="84"/>
          <w:highlight w:val="none"/>
        </w:rPr>
      </w:pPr>
    </w:p>
    <w:p w14:paraId="6C5919F0">
      <w:pP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14:paraId="06B6D769">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8、</w:t>
      </w:r>
      <w:r>
        <w:rPr>
          <w:rFonts w:hint="eastAsia" w:asciiTheme="minorEastAsia" w:hAnsiTheme="minorEastAsia" w:eastAsiaTheme="minorEastAsia" w:cstheme="minorEastAsia"/>
          <w:b/>
          <w:color w:val="auto"/>
          <w:sz w:val="32"/>
          <w:szCs w:val="32"/>
          <w:highlight w:val="none"/>
        </w:rPr>
        <w:t>投标人提供的其它资格证明文件(若有)</w:t>
      </w:r>
    </w:p>
    <w:p w14:paraId="4ACB9BA5">
      <w:pPr>
        <w:pStyle w:val="26"/>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37C9F378">
      <w:pPr>
        <w:pStyle w:val="26"/>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除招标文件另有规定外，招标文件要求提交的除前述资格证明文件外的其他资格证明文件(若有)加盖投标人的单位公章后应在此项下提交。</w:t>
      </w:r>
    </w:p>
    <w:p w14:paraId="0236150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   </w:t>
      </w:r>
    </w:p>
    <w:p w14:paraId="3C163F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7D9B4E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5DB786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0966B3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7695A6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47B1E8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2198D0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679A0A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30D6F9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2BE8F5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54D181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771D9F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0C17C5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735A9C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44E327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556B2A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2B580B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4C0F1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4"/>
          <w:szCs w:val="24"/>
          <w:highlight w:val="none"/>
        </w:rPr>
      </w:pPr>
    </w:p>
    <w:p w14:paraId="0ECB682E">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6EA5AFA">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7CAF0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年  月  日</w:t>
      </w:r>
    </w:p>
    <w:p w14:paraId="66B8816A">
      <w:pPr>
        <w:wordWrap w:val="0"/>
        <w:spacing w:line="400" w:lineRule="exact"/>
        <w:jc w:val="center"/>
        <w:rPr>
          <w:rFonts w:hint="eastAsia" w:asciiTheme="minorEastAsia" w:hAnsiTheme="minorEastAsia" w:eastAsiaTheme="minorEastAsia" w:cstheme="minorEastAsia"/>
          <w:b/>
          <w:bCs/>
          <w:color w:val="auto"/>
          <w:sz w:val="36"/>
          <w:highlight w:val="none"/>
        </w:rPr>
      </w:pPr>
    </w:p>
    <w:p w14:paraId="4C77699A">
      <w:pPr>
        <w:wordWrap w:val="0"/>
        <w:spacing w:line="400" w:lineRule="exact"/>
        <w:jc w:val="center"/>
        <w:rPr>
          <w:rFonts w:hint="eastAsia" w:asciiTheme="minorEastAsia" w:hAnsiTheme="minorEastAsia" w:eastAsiaTheme="minorEastAsia" w:cstheme="minorEastAsia"/>
          <w:b/>
          <w:bCs/>
          <w:color w:val="auto"/>
          <w:sz w:val="36"/>
          <w:highlight w:val="none"/>
        </w:rPr>
      </w:pPr>
    </w:p>
    <w:p w14:paraId="4D1A0244">
      <w:pPr>
        <w:pStyle w:val="47"/>
        <w:spacing w:line="400" w:lineRule="exact"/>
        <w:rPr>
          <w:rFonts w:hint="eastAsia" w:asciiTheme="minorEastAsia" w:hAnsiTheme="minorEastAsia" w:eastAsiaTheme="minorEastAsia" w:cstheme="minorEastAsia"/>
          <w:b/>
          <w:bCs/>
          <w:color w:val="auto"/>
          <w:sz w:val="36"/>
          <w:highlight w:val="none"/>
        </w:rPr>
      </w:pPr>
    </w:p>
    <w:p w14:paraId="2AC03B2D">
      <w:pPr>
        <w:pStyle w:val="47"/>
        <w:spacing w:line="400" w:lineRule="exact"/>
        <w:rPr>
          <w:rFonts w:hint="eastAsia" w:asciiTheme="minorEastAsia" w:hAnsiTheme="minorEastAsia" w:eastAsiaTheme="minorEastAsia" w:cstheme="minorEastAsia"/>
          <w:b/>
          <w:bCs/>
          <w:color w:val="auto"/>
          <w:sz w:val="36"/>
          <w:highlight w:val="none"/>
        </w:rPr>
      </w:pPr>
    </w:p>
    <w:p w14:paraId="3407DC58">
      <w:pPr>
        <w:pStyle w:val="47"/>
        <w:spacing w:line="400" w:lineRule="exact"/>
        <w:rPr>
          <w:rFonts w:hint="eastAsia" w:asciiTheme="minorEastAsia" w:hAnsiTheme="minorEastAsia" w:eastAsiaTheme="minorEastAsia" w:cstheme="minorEastAsia"/>
          <w:b/>
          <w:bCs/>
          <w:color w:val="auto"/>
          <w:sz w:val="36"/>
          <w:highlight w:val="none"/>
        </w:rPr>
      </w:pPr>
    </w:p>
    <w:p w14:paraId="5E454791">
      <w:pPr>
        <w:pStyle w:val="47"/>
        <w:spacing w:line="400" w:lineRule="exact"/>
        <w:rPr>
          <w:rFonts w:hint="eastAsia" w:asciiTheme="minorEastAsia" w:hAnsiTheme="minorEastAsia" w:eastAsiaTheme="minorEastAsia" w:cstheme="minorEastAsia"/>
          <w:b/>
          <w:bCs/>
          <w:color w:val="auto"/>
          <w:sz w:val="36"/>
          <w:highlight w:val="none"/>
        </w:rPr>
      </w:pPr>
    </w:p>
    <w:p w14:paraId="03C9284C">
      <w:pPr>
        <w:spacing w:line="400" w:lineRule="exact"/>
        <w:jc w:val="center"/>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rPr>
        <w:br w:type="page"/>
      </w:r>
    </w:p>
    <w:p w14:paraId="2A41E34C">
      <w:pPr>
        <w:jc w:val="center"/>
        <w:rPr>
          <w:rFonts w:hint="eastAsia" w:asciiTheme="minorEastAsia" w:hAnsiTheme="minorEastAsia" w:eastAsiaTheme="minorEastAsia" w:cstheme="minorEastAsia"/>
          <w:b/>
          <w:bCs/>
          <w:color w:val="auto"/>
          <w:sz w:val="72"/>
          <w:szCs w:val="72"/>
          <w:highlight w:val="none"/>
          <w:lang w:val="en-US" w:eastAsia="zh-CN"/>
        </w:rPr>
      </w:pPr>
    </w:p>
    <w:p w14:paraId="0482D5A3">
      <w:pPr>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货物和服务项目</w:t>
      </w:r>
    </w:p>
    <w:p w14:paraId="57A21439">
      <w:pPr>
        <w:pStyle w:val="15"/>
        <w:spacing w:line="360" w:lineRule="auto"/>
        <w:ind w:firstLine="0"/>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投  标  文  件</w:t>
      </w:r>
    </w:p>
    <w:p w14:paraId="54C186E6">
      <w:pPr>
        <w:pStyle w:val="15"/>
        <w:spacing w:line="360" w:lineRule="auto"/>
        <w:ind w:firstLine="0"/>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第二册 技术商务部分</w:t>
      </w:r>
    </w:p>
    <w:p w14:paraId="396F3E0C">
      <w:pPr>
        <w:pStyle w:val="15"/>
        <w:ind w:firstLine="0"/>
        <w:jc w:val="center"/>
        <w:rPr>
          <w:rFonts w:hint="eastAsia" w:asciiTheme="minorEastAsia" w:hAnsiTheme="minorEastAsia" w:eastAsiaTheme="minorEastAsia" w:cstheme="minorEastAsia"/>
          <w:color w:val="auto"/>
          <w:highlight w:val="none"/>
        </w:rPr>
      </w:pPr>
    </w:p>
    <w:p w14:paraId="796D60AA">
      <w:pPr>
        <w:pStyle w:val="15"/>
        <w:ind w:firstLine="0"/>
        <w:jc w:val="center"/>
        <w:rPr>
          <w:rFonts w:hint="eastAsia" w:asciiTheme="minorEastAsia" w:hAnsiTheme="minorEastAsia" w:eastAsiaTheme="minorEastAsia" w:cstheme="minorEastAsia"/>
          <w:color w:val="auto"/>
          <w:highlight w:val="none"/>
        </w:rPr>
      </w:pPr>
    </w:p>
    <w:p w14:paraId="19995049">
      <w:pPr>
        <w:pStyle w:val="17"/>
        <w:spacing w:line="700" w:lineRule="exac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招标编号</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single"/>
        </w:rPr>
        <w:t xml:space="preserve">       </w:t>
      </w:r>
    </w:p>
    <w:p w14:paraId="5E4F5A91">
      <w:pPr>
        <w:ind w:firstLine="1435" w:firstLineChars="397"/>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p>
    <w:p w14:paraId="262428BE">
      <w:pPr>
        <w:pStyle w:val="17"/>
        <w:spacing w:line="0" w:lineRule="atLeas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合 同 包</w:t>
      </w:r>
      <w:r>
        <w:rPr>
          <w:rFonts w:hint="eastAsia" w:asciiTheme="minorEastAsia" w:hAnsiTheme="minorEastAsia" w:eastAsiaTheme="minorEastAsia" w:cstheme="minorEastAsia"/>
          <w:b/>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p>
    <w:p w14:paraId="640B5EB9">
      <w:pPr>
        <w:pStyle w:val="17"/>
        <w:spacing w:line="0" w:lineRule="atLeast"/>
        <w:jc w:val="center"/>
        <w:rPr>
          <w:rFonts w:hint="eastAsia" w:asciiTheme="minorEastAsia" w:hAnsiTheme="minorEastAsia" w:eastAsiaTheme="minorEastAsia" w:cstheme="minorEastAsia"/>
          <w:b/>
          <w:color w:val="auto"/>
          <w:sz w:val="36"/>
          <w:szCs w:val="36"/>
          <w:highlight w:val="none"/>
        </w:rPr>
      </w:pPr>
    </w:p>
    <w:p w14:paraId="77F21AAE">
      <w:pPr>
        <w:pStyle w:val="17"/>
        <w:spacing w:line="0" w:lineRule="atLeast"/>
        <w:rPr>
          <w:rFonts w:hint="eastAsia" w:asciiTheme="minorEastAsia" w:hAnsiTheme="minorEastAsia" w:eastAsiaTheme="minorEastAsia" w:cstheme="minorEastAsia"/>
          <w:b/>
          <w:color w:val="auto"/>
          <w:sz w:val="36"/>
          <w:szCs w:val="36"/>
          <w:highlight w:val="none"/>
        </w:rPr>
      </w:pPr>
    </w:p>
    <w:p w14:paraId="36F9F200">
      <w:pPr>
        <w:pStyle w:val="17"/>
        <w:tabs>
          <w:tab w:val="left" w:pos="1620"/>
        </w:tabs>
        <w:spacing w:line="700" w:lineRule="exact"/>
        <w:ind w:firstLine="1397" w:firstLineChars="348"/>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pacing w:val="20"/>
          <w:sz w:val="36"/>
          <w:szCs w:val="36"/>
          <w:highlight w:val="none"/>
        </w:rPr>
        <w:t>投标人名称(并</w:t>
      </w:r>
      <w:r>
        <w:rPr>
          <w:rFonts w:hint="eastAsia" w:asciiTheme="minorEastAsia" w:hAnsiTheme="minorEastAsia" w:eastAsiaTheme="minorEastAsia" w:cstheme="minorEastAsia"/>
          <w:b/>
          <w:color w:val="auto"/>
          <w:spacing w:val="20"/>
          <w:sz w:val="36"/>
          <w:szCs w:val="36"/>
          <w:highlight w:val="none"/>
          <w:lang w:eastAsia="zh-CN"/>
        </w:rPr>
        <w:t>加</w:t>
      </w:r>
      <w:r>
        <w:rPr>
          <w:rFonts w:hint="eastAsia" w:asciiTheme="minorEastAsia" w:hAnsiTheme="minorEastAsia" w:eastAsiaTheme="minorEastAsia" w:cstheme="minorEastAsia"/>
          <w:b/>
          <w:color w:val="auto"/>
          <w:spacing w:val="20"/>
          <w:sz w:val="36"/>
          <w:szCs w:val="36"/>
          <w:highlight w:val="none"/>
        </w:rPr>
        <w:t>盖公章)</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4140FCFF">
      <w:pPr>
        <w:pStyle w:val="17"/>
        <w:tabs>
          <w:tab w:val="left" w:pos="1620"/>
        </w:tabs>
        <w:spacing w:line="700" w:lineRule="exac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日   期</w:t>
      </w:r>
      <w:r>
        <w:rPr>
          <w:rFonts w:hint="eastAsia" w:asciiTheme="minorEastAsia" w:hAnsiTheme="minorEastAsia" w:eastAsiaTheme="minorEastAsia" w:cstheme="minorEastAsia"/>
          <w:b/>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年</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月</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日</w:t>
      </w:r>
    </w:p>
    <w:p w14:paraId="2E8207F9">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联系电话</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5372A1A3">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授权代表人</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2DB42F19">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联系地址</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r>
        <w:rPr>
          <w:rFonts w:hint="eastAsia" w:asciiTheme="minorEastAsia" w:hAnsiTheme="minorEastAsia" w:eastAsiaTheme="minorEastAsia" w:cstheme="minorEastAsia"/>
          <w:b/>
          <w:bCs/>
          <w:color w:val="auto"/>
          <w:sz w:val="36"/>
          <w:szCs w:val="36"/>
          <w:highlight w:val="none"/>
        </w:rPr>
        <w:t xml:space="preserve">   </w:t>
      </w:r>
    </w:p>
    <w:p w14:paraId="3AE6886B">
      <w:pPr>
        <w:spacing w:line="400" w:lineRule="exact"/>
        <w:rPr>
          <w:rFonts w:hint="eastAsia" w:asciiTheme="minorEastAsia" w:hAnsiTheme="minorEastAsia" w:eastAsiaTheme="minorEastAsia" w:cstheme="minorEastAsia"/>
          <w:color w:val="auto"/>
          <w:sz w:val="24"/>
          <w:highlight w:val="none"/>
        </w:rPr>
      </w:pPr>
    </w:p>
    <w:p w14:paraId="1872A448">
      <w:pPr>
        <w:pStyle w:val="7"/>
        <w:snapToGrid w:val="0"/>
        <w:spacing w:line="420" w:lineRule="atLeast"/>
        <w:ind w:left="-2" w:leftChars="-1" w:firstLine="0" w:firstLineChars="0"/>
        <w:jc w:val="center"/>
        <w:rPr>
          <w:rFonts w:hint="eastAsia" w:asciiTheme="minorEastAsia" w:hAnsiTheme="minorEastAsia" w:eastAsiaTheme="minorEastAsia" w:cstheme="minorEastAsia"/>
          <w:b/>
          <w:bCs/>
          <w:color w:val="auto"/>
          <w:sz w:val="44"/>
          <w:szCs w:val="44"/>
          <w:highlight w:val="none"/>
        </w:rPr>
      </w:pPr>
    </w:p>
    <w:p w14:paraId="3B619AF6">
      <w:pPr>
        <w:pStyle w:val="7"/>
        <w:snapToGrid w:val="0"/>
        <w:spacing w:line="420" w:lineRule="atLeast"/>
        <w:ind w:left="-2" w:leftChars="-1"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44"/>
          <w:szCs w:val="44"/>
          <w:highlight w:val="none"/>
        </w:rPr>
        <w:br w:type="page"/>
      </w:r>
    </w:p>
    <w:p w14:paraId="2CD45C4B">
      <w:pPr>
        <w:pStyle w:val="7"/>
        <w:snapToGrid w:val="0"/>
        <w:spacing w:line="420" w:lineRule="atLeast"/>
        <w:ind w:left="-2" w:leftChars="-1"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44"/>
          <w:szCs w:val="44"/>
          <w:highlight w:val="none"/>
        </w:rPr>
        <w:t>技术商务部分格式</w:t>
      </w:r>
    </w:p>
    <w:p w14:paraId="31617B4A">
      <w:pPr>
        <w:pStyle w:val="7"/>
        <w:snapToGrid w:val="0"/>
        <w:spacing w:line="420" w:lineRule="atLeast"/>
        <w:ind w:left="-2" w:leftChars="-1"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rPr>
        <w:t>目    录</w:t>
      </w:r>
    </w:p>
    <w:p w14:paraId="6C8DE70C">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技术商务部分评标内容对应表</w:t>
      </w:r>
    </w:p>
    <w:p w14:paraId="46468AD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货物说明一览表</w:t>
      </w:r>
    </w:p>
    <w:p w14:paraId="5745E139">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供货范围清单</w:t>
      </w:r>
    </w:p>
    <w:p w14:paraId="45D5D70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技术和服务要求响应表</w:t>
      </w:r>
    </w:p>
    <w:p w14:paraId="0ACDAD4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商务条件响应表</w:t>
      </w:r>
    </w:p>
    <w:p w14:paraId="70D04FC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质量保证与售后服务承诺</w:t>
      </w:r>
    </w:p>
    <w:p w14:paraId="7D95EC4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投标人提交的其它资料</w:t>
      </w:r>
    </w:p>
    <w:p w14:paraId="7A08A78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投标人廉政承诺书</w:t>
      </w:r>
    </w:p>
    <w:p w14:paraId="3DCFD1A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服务费承诺书</w:t>
      </w:r>
    </w:p>
    <w:p w14:paraId="7BC137C8">
      <w:pPr>
        <w:spacing w:line="400" w:lineRule="exact"/>
        <w:rPr>
          <w:rFonts w:hint="eastAsia" w:asciiTheme="minorEastAsia" w:hAnsiTheme="minorEastAsia" w:eastAsiaTheme="minorEastAsia" w:cstheme="minorEastAsia"/>
          <w:color w:val="auto"/>
          <w:szCs w:val="21"/>
          <w:highlight w:val="none"/>
        </w:rPr>
      </w:pPr>
    </w:p>
    <w:p w14:paraId="1A462225">
      <w:pPr>
        <w:spacing w:line="400" w:lineRule="exact"/>
        <w:rPr>
          <w:rFonts w:hint="eastAsia" w:asciiTheme="minorEastAsia" w:hAnsiTheme="minorEastAsia" w:eastAsiaTheme="minorEastAsia" w:cstheme="minorEastAsia"/>
          <w:color w:val="auto"/>
          <w:szCs w:val="21"/>
          <w:highlight w:val="none"/>
        </w:rPr>
      </w:pPr>
    </w:p>
    <w:p w14:paraId="1CBB9D46">
      <w:pPr>
        <w:spacing w:line="400" w:lineRule="exact"/>
        <w:rPr>
          <w:rFonts w:hint="eastAsia" w:asciiTheme="minorEastAsia" w:hAnsiTheme="minorEastAsia" w:eastAsiaTheme="minorEastAsia" w:cstheme="minorEastAsia"/>
          <w:b/>
          <w:color w:val="auto"/>
          <w:sz w:val="36"/>
          <w:highlight w:val="none"/>
        </w:rPr>
      </w:pPr>
    </w:p>
    <w:p w14:paraId="7C7EDB80">
      <w:pPr>
        <w:spacing w:line="400" w:lineRule="exact"/>
        <w:ind w:firstLine="600"/>
        <w:rPr>
          <w:rFonts w:hint="eastAsia" w:asciiTheme="minorEastAsia" w:hAnsiTheme="minorEastAsia" w:eastAsiaTheme="minorEastAsia" w:cstheme="minorEastAsia"/>
          <w:b/>
          <w:color w:val="auto"/>
          <w:szCs w:val="21"/>
          <w:highlight w:val="none"/>
        </w:rPr>
      </w:pPr>
    </w:p>
    <w:p w14:paraId="154C905D">
      <w:pPr>
        <w:spacing w:line="400" w:lineRule="exact"/>
        <w:ind w:firstLine="600"/>
        <w:rPr>
          <w:rFonts w:hint="eastAsia" w:asciiTheme="minorEastAsia" w:hAnsiTheme="minorEastAsia" w:eastAsiaTheme="minorEastAsia" w:cstheme="minorEastAsia"/>
          <w:b/>
          <w:color w:val="auto"/>
          <w:szCs w:val="21"/>
          <w:highlight w:val="none"/>
        </w:rPr>
      </w:pPr>
    </w:p>
    <w:p w14:paraId="392C7564">
      <w:pPr>
        <w:spacing w:line="400" w:lineRule="exact"/>
        <w:jc w:val="center"/>
        <w:rPr>
          <w:rFonts w:hint="eastAsia" w:asciiTheme="minorEastAsia" w:hAnsiTheme="minorEastAsia" w:eastAsiaTheme="minorEastAsia" w:cstheme="minorEastAsia"/>
          <w:b/>
          <w:color w:val="auto"/>
          <w:sz w:val="36"/>
          <w:highlight w:val="none"/>
        </w:rPr>
      </w:pPr>
    </w:p>
    <w:p w14:paraId="2E78DBBC">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5C7FB103">
      <w:pPr>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6"/>
          <w:szCs w:val="36"/>
          <w:highlight w:val="none"/>
        </w:rPr>
        <w:t>技术商务部分评标内容对应表</w:t>
      </w:r>
    </w:p>
    <w:p w14:paraId="709028C6">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招标编号∶ </w:t>
      </w:r>
    </w:p>
    <w:tbl>
      <w:tblPr>
        <w:tblStyle w:val="32"/>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5"/>
        <w:gridCol w:w="2837"/>
        <w:gridCol w:w="2660"/>
        <w:gridCol w:w="1422"/>
        <w:gridCol w:w="1207"/>
      </w:tblGrid>
      <w:tr w14:paraId="691C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09" w:type="dxa"/>
            <w:gridSpan w:val="2"/>
            <w:vAlign w:val="center"/>
          </w:tcPr>
          <w:p w14:paraId="044413D6">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  目</w:t>
            </w:r>
          </w:p>
        </w:tc>
        <w:tc>
          <w:tcPr>
            <w:tcW w:w="2837" w:type="dxa"/>
            <w:vAlign w:val="center"/>
          </w:tcPr>
          <w:p w14:paraId="63E416F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 标 内 容</w:t>
            </w:r>
          </w:p>
        </w:tc>
        <w:tc>
          <w:tcPr>
            <w:tcW w:w="2660" w:type="dxa"/>
            <w:vAlign w:val="center"/>
          </w:tcPr>
          <w:p w14:paraId="568F896A">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投标文件响应情况</w:t>
            </w:r>
          </w:p>
        </w:tc>
        <w:tc>
          <w:tcPr>
            <w:tcW w:w="1422" w:type="dxa"/>
            <w:vAlign w:val="center"/>
          </w:tcPr>
          <w:p w14:paraId="7BD9073F">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证明材料</w:t>
            </w:r>
          </w:p>
        </w:tc>
        <w:tc>
          <w:tcPr>
            <w:tcW w:w="1207" w:type="dxa"/>
            <w:vAlign w:val="center"/>
          </w:tcPr>
          <w:p w14:paraId="6AADF986">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投标文件对应页码</w:t>
            </w:r>
          </w:p>
        </w:tc>
      </w:tr>
      <w:tr w14:paraId="362E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4" w:type="dxa"/>
            <w:vMerge w:val="restart"/>
            <w:vAlign w:val="center"/>
          </w:tcPr>
          <w:p w14:paraId="5C51BCB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w:t>
            </w:r>
          </w:p>
          <w:p w14:paraId="5B5E39A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w:t>
            </w:r>
          </w:p>
          <w:p w14:paraId="332F619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w:t>
            </w:r>
          </w:p>
          <w:p w14:paraId="3865B95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w:t>
            </w:r>
          </w:p>
        </w:tc>
        <w:tc>
          <w:tcPr>
            <w:tcW w:w="1065" w:type="dxa"/>
            <w:vAlign w:val="center"/>
          </w:tcPr>
          <w:p w14:paraId="5CFA22DA">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4264F8C6">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6B621642">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2EE05CA6">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76B0FC1">
            <w:pPr>
              <w:spacing w:line="400" w:lineRule="exact"/>
              <w:jc w:val="center"/>
              <w:rPr>
                <w:rFonts w:hint="eastAsia" w:asciiTheme="minorEastAsia" w:hAnsiTheme="minorEastAsia" w:eastAsiaTheme="minorEastAsia" w:cstheme="minorEastAsia"/>
                <w:b/>
                <w:color w:val="auto"/>
                <w:sz w:val="24"/>
                <w:szCs w:val="24"/>
                <w:highlight w:val="none"/>
              </w:rPr>
            </w:pPr>
          </w:p>
        </w:tc>
      </w:tr>
      <w:tr w14:paraId="2DCC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4" w:type="dxa"/>
            <w:vMerge w:val="continue"/>
            <w:vAlign w:val="top"/>
          </w:tcPr>
          <w:p w14:paraId="7FD0F5E9">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54A03C80">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085C9BDC">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3AA4E012">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17B483F1">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D8F4273">
            <w:pPr>
              <w:spacing w:line="400" w:lineRule="exact"/>
              <w:jc w:val="center"/>
              <w:rPr>
                <w:rFonts w:hint="eastAsia" w:asciiTheme="minorEastAsia" w:hAnsiTheme="minorEastAsia" w:eastAsiaTheme="minorEastAsia" w:cstheme="minorEastAsia"/>
                <w:b/>
                <w:color w:val="auto"/>
                <w:sz w:val="24"/>
                <w:szCs w:val="24"/>
                <w:highlight w:val="none"/>
              </w:rPr>
            </w:pPr>
          </w:p>
        </w:tc>
      </w:tr>
      <w:tr w14:paraId="7DC1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4" w:type="dxa"/>
            <w:vMerge w:val="continue"/>
            <w:vAlign w:val="top"/>
          </w:tcPr>
          <w:p w14:paraId="00805F38">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7EDCE781">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2F4B883E">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5EA82D2F">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1687CCB0">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477B3235">
            <w:pPr>
              <w:spacing w:line="400" w:lineRule="exact"/>
              <w:jc w:val="center"/>
              <w:rPr>
                <w:rFonts w:hint="eastAsia" w:asciiTheme="minorEastAsia" w:hAnsiTheme="minorEastAsia" w:eastAsiaTheme="minorEastAsia" w:cstheme="minorEastAsia"/>
                <w:b/>
                <w:color w:val="auto"/>
                <w:sz w:val="24"/>
                <w:szCs w:val="24"/>
                <w:highlight w:val="none"/>
              </w:rPr>
            </w:pPr>
          </w:p>
        </w:tc>
      </w:tr>
      <w:tr w14:paraId="34AE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767E1EEC">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2E10971B">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2231E9CE">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2B92B3EE">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0997622C">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15CC64D">
            <w:pPr>
              <w:spacing w:line="400" w:lineRule="exact"/>
              <w:jc w:val="center"/>
              <w:rPr>
                <w:rFonts w:hint="eastAsia" w:asciiTheme="minorEastAsia" w:hAnsiTheme="minorEastAsia" w:eastAsiaTheme="minorEastAsia" w:cstheme="minorEastAsia"/>
                <w:b/>
                <w:color w:val="auto"/>
                <w:sz w:val="24"/>
                <w:szCs w:val="24"/>
                <w:highlight w:val="none"/>
              </w:rPr>
            </w:pPr>
          </w:p>
        </w:tc>
      </w:tr>
      <w:tr w14:paraId="4F0B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48911455">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6FB450D5">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05A72EF5">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23F466E8">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4C508798">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55C16C6">
            <w:pPr>
              <w:spacing w:line="400" w:lineRule="exact"/>
              <w:jc w:val="center"/>
              <w:rPr>
                <w:rFonts w:hint="eastAsia" w:asciiTheme="minorEastAsia" w:hAnsiTheme="minorEastAsia" w:eastAsiaTheme="minorEastAsia" w:cstheme="minorEastAsia"/>
                <w:b/>
                <w:color w:val="auto"/>
                <w:sz w:val="24"/>
                <w:szCs w:val="24"/>
                <w:highlight w:val="none"/>
              </w:rPr>
            </w:pPr>
          </w:p>
        </w:tc>
      </w:tr>
      <w:tr w14:paraId="7CA0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644" w:type="dxa"/>
            <w:vMerge w:val="continue"/>
            <w:vAlign w:val="top"/>
          </w:tcPr>
          <w:p w14:paraId="35CB475D">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2AE10696">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7DE9E1C2">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62B9AF01">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6FB31230">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79140D73">
            <w:pPr>
              <w:spacing w:line="400" w:lineRule="exact"/>
              <w:jc w:val="center"/>
              <w:rPr>
                <w:rFonts w:hint="eastAsia" w:asciiTheme="minorEastAsia" w:hAnsiTheme="minorEastAsia" w:eastAsiaTheme="minorEastAsia" w:cstheme="minorEastAsia"/>
                <w:b/>
                <w:color w:val="auto"/>
                <w:sz w:val="24"/>
                <w:szCs w:val="24"/>
                <w:highlight w:val="none"/>
              </w:rPr>
            </w:pPr>
          </w:p>
        </w:tc>
      </w:tr>
      <w:tr w14:paraId="5675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587C8CCA">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0071C4C0">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3845D64E">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059885C0">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5AD188A6">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1335B3B1">
            <w:pPr>
              <w:spacing w:line="400" w:lineRule="exact"/>
              <w:jc w:val="center"/>
              <w:rPr>
                <w:rFonts w:hint="eastAsia" w:asciiTheme="minorEastAsia" w:hAnsiTheme="minorEastAsia" w:eastAsiaTheme="minorEastAsia" w:cstheme="minorEastAsia"/>
                <w:b/>
                <w:color w:val="auto"/>
                <w:sz w:val="24"/>
                <w:szCs w:val="24"/>
                <w:highlight w:val="none"/>
              </w:rPr>
            </w:pPr>
          </w:p>
        </w:tc>
      </w:tr>
      <w:tr w14:paraId="3035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280641FA">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0C010CE6">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7EA6D39F">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4B092769">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18E5B256">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1D6D3E2C">
            <w:pPr>
              <w:spacing w:line="400" w:lineRule="exact"/>
              <w:jc w:val="center"/>
              <w:rPr>
                <w:rFonts w:hint="eastAsia" w:asciiTheme="minorEastAsia" w:hAnsiTheme="minorEastAsia" w:eastAsiaTheme="minorEastAsia" w:cstheme="minorEastAsia"/>
                <w:b/>
                <w:color w:val="auto"/>
                <w:sz w:val="24"/>
                <w:szCs w:val="24"/>
                <w:highlight w:val="none"/>
              </w:rPr>
            </w:pPr>
          </w:p>
        </w:tc>
      </w:tr>
      <w:tr w14:paraId="3AF1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54934344">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0A8D523C">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61975E58">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300A87FC">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77A46844">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00116467">
            <w:pPr>
              <w:spacing w:line="400" w:lineRule="exact"/>
              <w:jc w:val="center"/>
              <w:rPr>
                <w:rFonts w:hint="eastAsia" w:asciiTheme="minorEastAsia" w:hAnsiTheme="minorEastAsia" w:eastAsiaTheme="minorEastAsia" w:cstheme="minorEastAsia"/>
                <w:b/>
                <w:color w:val="auto"/>
                <w:sz w:val="24"/>
                <w:szCs w:val="24"/>
                <w:highlight w:val="none"/>
              </w:rPr>
            </w:pPr>
          </w:p>
        </w:tc>
      </w:tr>
      <w:tr w14:paraId="3F77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4" w:type="dxa"/>
            <w:vMerge w:val="continue"/>
            <w:vAlign w:val="top"/>
          </w:tcPr>
          <w:p w14:paraId="73E0ED31">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26931C5D">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4B997E14">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4F80D7E2">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7BB5FE1A">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AB52F1C">
            <w:pPr>
              <w:spacing w:line="400" w:lineRule="exact"/>
              <w:jc w:val="center"/>
              <w:rPr>
                <w:rFonts w:hint="eastAsia" w:asciiTheme="minorEastAsia" w:hAnsiTheme="minorEastAsia" w:eastAsiaTheme="minorEastAsia" w:cstheme="minorEastAsia"/>
                <w:b/>
                <w:color w:val="auto"/>
                <w:sz w:val="24"/>
                <w:szCs w:val="24"/>
                <w:highlight w:val="none"/>
              </w:rPr>
            </w:pPr>
          </w:p>
        </w:tc>
      </w:tr>
      <w:tr w14:paraId="7916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4" w:type="dxa"/>
            <w:vMerge w:val="restart"/>
            <w:vAlign w:val="center"/>
          </w:tcPr>
          <w:p w14:paraId="0701411F">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w:t>
            </w:r>
          </w:p>
          <w:p w14:paraId="6FACCF3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务</w:t>
            </w:r>
          </w:p>
          <w:p w14:paraId="700B954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w:t>
            </w:r>
          </w:p>
          <w:p w14:paraId="4D0D6D6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w:t>
            </w:r>
          </w:p>
        </w:tc>
        <w:tc>
          <w:tcPr>
            <w:tcW w:w="1065" w:type="dxa"/>
            <w:vAlign w:val="center"/>
          </w:tcPr>
          <w:p w14:paraId="51C7672D">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5A0AD3A6">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2FED40AD">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231BFFC2">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14F7B2F">
            <w:pPr>
              <w:spacing w:line="400" w:lineRule="exact"/>
              <w:jc w:val="center"/>
              <w:rPr>
                <w:rFonts w:hint="eastAsia" w:asciiTheme="minorEastAsia" w:hAnsiTheme="minorEastAsia" w:eastAsiaTheme="minorEastAsia" w:cstheme="minorEastAsia"/>
                <w:b/>
                <w:color w:val="auto"/>
                <w:sz w:val="24"/>
                <w:szCs w:val="24"/>
                <w:highlight w:val="none"/>
              </w:rPr>
            </w:pPr>
          </w:p>
        </w:tc>
      </w:tr>
      <w:tr w14:paraId="56B8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644" w:type="dxa"/>
            <w:vMerge w:val="continue"/>
            <w:vAlign w:val="center"/>
          </w:tcPr>
          <w:p w14:paraId="09E1B24A">
            <w:pPr>
              <w:spacing w:line="400" w:lineRule="exact"/>
              <w:jc w:val="center"/>
              <w:rPr>
                <w:rFonts w:hint="eastAsia" w:asciiTheme="minorEastAsia" w:hAnsiTheme="minorEastAsia" w:eastAsiaTheme="minorEastAsia" w:cstheme="minorEastAsia"/>
                <w:color w:val="auto"/>
                <w:sz w:val="24"/>
                <w:szCs w:val="24"/>
                <w:highlight w:val="none"/>
              </w:rPr>
            </w:pPr>
          </w:p>
        </w:tc>
        <w:tc>
          <w:tcPr>
            <w:tcW w:w="1065" w:type="dxa"/>
            <w:vAlign w:val="center"/>
          </w:tcPr>
          <w:p w14:paraId="0A0D310C">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0E03DC52">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1F7667C2">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4B2C7D6B">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7A95E7C5">
            <w:pPr>
              <w:spacing w:line="400" w:lineRule="exact"/>
              <w:jc w:val="center"/>
              <w:rPr>
                <w:rFonts w:hint="eastAsia" w:asciiTheme="minorEastAsia" w:hAnsiTheme="minorEastAsia" w:eastAsiaTheme="minorEastAsia" w:cstheme="minorEastAsia"/>
                <w:b/>
                <w:color w:val="auto"/>
                <w:sz w:val="24"/>
                <w:szCs w:val="24"/>
                <w:highlight w:val="none"/>
              </w:rPr>
            </w:pPr>
          </w:p>
        </w:tc>
      </w:tr>
      <w:tr w14:paraId="3C55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 w:hRule="atLeast"/>
          <w:jc w:val="center"/>
        </w:trPr>
        <w:tc>
          <w:tcPr>
            <w:tcW w:w="644" w:type="dxa"/>
            <w:vMerge w:val="continue"/>
            <w:vAlign w:val="center"/>
          </w:tcPr>
          <w:p w14:paraId="00A8851B">
            <w:pPr>
              <w:spacing w:line="400" w:lineRule="exact"/>
              <w:jc w:val="center"/>
              <w:rPr>
                <w:rFonts w:hint="eastAsia" w:asciiTheme="minorEastAsia" w:hAnsiTheme="minorEastAsia" w:eastAsiaTheme="minorEastAsia" w:cstheme="minorEastAsia"/>
                <w:color w:val="auto"/>
                <w:sz w:val="24"/>
                <w:szCs w:val="24"/>
                <w:highlight w:val="none"/>
              </w:rPr>
            </w:pPr>
          </w:p>
        </w:tc>
        <w:tc>
          <w:tcPr>
            <w:tcW w:w="1065" w:type="dxa"/>
            <w:vAlign w:val="center"/>
          </w:tcPr>
          <w:p w14:paraId="7F1E1BBF">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68B0DD27">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0803C258">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573FC507">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32ADDB79">
            <w:pPr>
              <w:spacing w:line="400" w:lineRule="exact"/>
              <w:jc w:val="center"/>
              <w:rPr>
                <w:rFonts w:hint="eastAsia" w:asciiTheme="minorEastAsia" w:hAnsiTheme="minorEastAsia" w:eastAsiaTheme="minorEastAsia" w:cstheme="minorEastAsia"/>
                <w:b/>
                <w:color w:val="auto"/>
                <w:sz w:val="24"/>
                <w:szCs w:val="24"/>
                <w:highlight w:val="none"/>
              </w:rPr>
            </w:pPr>
          </w:p>
        </w:tc>
      </w:tr>
      <w:tr w14:paraId="7DC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44" w:type="dxa"/>
            <w:vMerge w:val="continue"/>
            <w:vAlign w:val="top"/>
          </w:tcPr>
          <w:p w14:paraId="15641521">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712A2F7C">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5FD3FB41">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2FAF7214">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023C2A69">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580FA1AF">
            <w:pPr>
              <w:spacing w:line="400" w:lineRule="exact"/>
              <w:jc w:val="center"/>
              <w:rPr>
                <w:rFonts w:hint="eastAsia" w:asciiTheme="minorEastAsia" w:hAnsiTheme="minorEastAsia" w:eastAsiaTheme="minorEastAsia" w:cstheme="minorEastAsia"/>
                <w:b/>
                <w:color w:val="auto"/>
                <w:sz w:val="24"/>
                <w:szCs w:val="24"/>
                <w:highlight w:val="none"/>
              </w:rPr>
            </w:pPr>
          </w:p>
        </w:tc>
      </w:tr>
      <w:tr w14:paraId="2C6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44" w:type="dxa"/>
            <w:vMerge w:val="continue"/>
            <w:vAlign w:val="top"/>
          </w:tcPr>
          <w:p w14:paraId="0291A0DC">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49D4D652">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0C152B12">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5A7308B4">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3557A10F">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6DED2D61">
            <w:pPr>
              <w:spacing w:line="400" w:lineRule="exact"/>
              <w:jc w:val="center"/>
              <w:rPr>
                <w:rFonts w:hint="eastAsia" w:asciiTheme="minorEastAsia" w:hAnsiTheme="minorEastAsia" w:eastAsiaTheme="minorEastAsia" w:cstheme="minorEastAsia"/>
                <w:b/>
                <w:color w:val="auto"/>
                <w:sz w:val="24"/>
                <w:szCs w:val="24"/>
                <w:highlight w:val="none"/>
              </w:rPr>
            </w:pPr>
          </w:p>
        </w:tc>
      </w:tr>
      <w:tr w14:paraId="215B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vMerge w:val="continue"/>
            <w:vAlign w:val="top"/>
          </w:tcPr>
          <w:p w14:paraId="0C33EBD8">
            <w:pPr>
              <w:spacing w:line="400" w:lineRule="exact"/>
              <w:rPr>
                <w:rFonts w:hint="eastAsia" w:asciiTheme="minorEastAsia" w:hAnsiTheme="minorEastAsia" w:eastAsiaTheme="minorEastAsia" w:cstheme="minorEastAsia"/>
                <w:b/>
                <w:color w:val="auto"/>
                <w:sz w:val="24"/>
                <w:szCs w:val="24"/>
                <w:highlight w:val="none"/>
              </w:rPr>
            </w:pPr>
          </w:p>
        </w:tc>
        <w:tc>
          <w:tcPr>
            <w:tcW w:w="1065" w:type="dxa"/>
            <w:vAlign w:val="center"/>
          </w:tcPr>
          <w:p w14:paraId="5562179A">
            <w:pPr>
              <w:spacing w:line="400" w:lineRule="exact"/>
              <w:jc w:val="center"/>
              <w:rPr>
                <w:rFonts w:hint="eastAsia" w:asciiTheme="minorEastAsia" w:hAnsiTheme="minorEastAsia" w:eastAsiaTheme="minorEastAsia" w:cstheme="minorEastAsia"/>
                <w:color w:val="auto"/>
                <w:sz w:val="24"/>
                <w:szCs w:val="24"/>
                <w:highlight w:val="none"/>
              </w:rPr>
            </w:pPr>
          </w:p>
        </w:tc>
        <w:tc>
          <w:tcPr>
            <w:tcW w:w="2837" w:type="dxa"/>
            <w:vAlign w:val="center"/>
          </w:tcPr>
          <w:p w14:paraId="46C56041">
            <w:pPr>
              <w:spacing w:line="400" w:lineRule="exact"/>
              <w:jc w:val="center"/>
              <w:rPr>
                <w:rFonts w:hint="eastAsia" w:asciiTheme="minorEastAsia" w:hAnsiTheme="minorEastAsia" w:eastAsiaTheme="minorEastAsia" w:cstheme="minorEastAsia"/>
                <w:b/>
                <w:color w:val="auto"/>
                <w:sz w:val="24"/>
                <w:szCs w:val="24"/>
                <w:highlight w:val="none"/>
              </w:rPr>
            </w:pPr>
          </w:p>
        </w:tc>
        <w:tc>
          <w:tcPr>
            <w:tcW w:w="2660" w:type="dxa"/>
            <w:vAlign w:val="center"/>
          </w:tcPr>
          <w:p w14:paraId="32DA07DA">
            <w:pPr>
              <w:spacing w:line="400" w:lineRule="exact"/>
              <w:jc w:val="center"/>
              <w:rPr>
                <w:rFonts w:hint="eastAsia" w:asciiTheme="minorEastAsia" w:hAnsiTheme="minorEastAsia" w:eastAsiaTheme="minorEastAsia" w:cstheme="minorEastAsia"/>
                <w:b/>
                <w:color w:val="auto"/>
                <w:sz w:val="24"/>
                <w:szCs w:val="24"/>
                <w:highlight w:val="none"/>
              </w:rPr>
            </w:pPr>
          </w:p>
        </w:tc>
        <w:tc>
          <w:tcPr>
            <w:tcW w:w="1422" w:type="dxa"/>
            <w:vAlign w:val="center"/>
          </w:tcPr>
          <w:p w14:paraId="50693673">
            <w:pPr>
              <w:spacing w:line="400" w:lineRule="exact"/>
              <w:jc w:val="center"/>
              <w:rPr>
                <w:rFonts w:hint="eastAsia" w:asciiTheme="minorEastAsia" w:hAnsiTheme="minorEastAsia" w:eastAsiaTheme="minorEastAsia" w:cstheme="minorEastAsia"/>
                <w:b/>
                <w:color w:val="auto"/>
                <w:sz w:val="24"/>
                <w:szCs w:val="24"/>
                <w:highlight w:val="none"/>
              </w:rPr>
            </w:pPr>
          </w:p>
        </w:tc>
        <w:tc>
          <w:tcPr>
            <w:tcW w:w="1207" w:type="dxa"/>
            <w:vAlign w:val="center"/>
          </w:tcPr>
          <w:p w14:paraId="6496BBAF">
            <w:pPr>
              <w:spacing w:line="400" w:lineRule="exact"/>
              <w:jc w:val="center"/>
              <w:rPr>
                <w:rFonts w:hint="eastAsia" w:asciiTheme="minorEastAsia" w:hAnsiTheme="minorEastAsia" w:eastAsiaTheme="minorEastAsia" w:cstheme="minorEastAsia"/>
                <w:b/>
                <w:color w:val="auto"/>
                <w:sz w:val="24"/>
                <w:szCs w:val="24"/>
                <w:highlight w:val="none"/>
              </w:rPr>
            </w:pPr>
          </w:p>
        </w:tc>
      </w:tr>
    </w:tbl>
    <w:p w14:paraId="02D6404F">
      <w:pPr>
        <w:spacing w:line="400" w:lineRule="exact"/>
        <w:rPr>
          <w:rFonts w:hint="eastAsia" w:asciiTheme="minorEastAsia" w:hAnsiTheme="minorEastAsia" w:eastAsiaTheme="minorEastAsia" w:cstheme="minorEastAsia"/>
          <w:color w:val="auto"/>
          <w:sz w:val="24"/>
          <w:szCs w:val="24"/>
          <w:highlight w:val="none"/>
        </w:rPr>
      </w:pPr>
    </w:p>
    <w:p w14:paraId="68391CFB">
      <w:pPr>
        <w:spacing w:line="400" w:lineRule="exact"/>
        <w:rPr>
          <w:rFonts w:hint="eastAsia" w:asciiTheme="minorEastAsia" w:hAnsiTheme="minorEastAsia" w:eastAsiaTheme="minorEastAsia" w:cstheme="minorEastAsia"/>
          <w:b/>
          <w:color w:val="auto"/>
          <w:sz w:val="24"/>
          <w:szCs w:val="24"/>
          <w:highlight w:val="none"/>
        </w:rPr>
      </w:pPr>
    </w:p>
    <w:p w14:paraId="06454D19">
      <w:pPr>
        <w:spacing w:line="400" w:lineRule="exact"/>
        <w:rPr>
          <w:rFonts w:hint="eastAsia" w:asciiTheme="minorEastAsia" w:hAnsiTheme="minorEastAsia" w:eastAsiaTheme="minorEastAsia" w:cstheme="minorEastAsia"/>
          <w:b/>
          <w:color w:val="auto"/>
          <w:sz w:val="24"/>
          <w:szCs w:val="24"/>
          <w:highlight w:val="none"/>
        </w:rPr>
      </w:pPr>
    </w:p>
    <w:p w14:paraId="3D7124A4">
      <w:pPr>
        <w:spacing w:line="400" w:lineRule="exact"/>
        <w:rPr>
          <w:rFonts w:hint="eastAsia" w:asciiTheme="minorEastAsia" w:hAnsiTheme="minorEastAsia" w:eastAsiaTheme="minorEastAsia" w:cstheme="minorEastAsia"/>
          <w:b/>
          <w:color w:val="auto"/>
          <w:sz w:val="24"/>
          <w:szCs w:val="24"/>
          <w:highlight w:val="none"/>
        </w:rPr>
      </w:pPr>
    </w:p>
    <w:p w14:paraId="250D2675">
      <w:pPr>
        <w:spacing w:line="400" w:lineRule="exact"/>
        <w:jc w:val="center"/>
        <w:rPr>
          <w:rFonts w:hint="eastAsia" w:asciiTheme="minorEastAsia" w:hAnsiTheme="minorEastAsia" w:eastAsiaTheme="minorEastAsia" w:cstheme="minorEastAsia"/>
          <w:b/>
          <w:color w:val="auto"/>
          <w:sz w:val="24"/>
          <w:szCs w:val="24"/>
          <w:highlight w:val="none"/>
        </w:rPr>
      </w:pPr>
    </w:p>
    <w:p w14:paraId="1F9249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114D38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8E756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43C5F2F">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54F6A501">
      <w:pPr>
        <w:spacing w:line="4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1、服务</w:t>
      </w:r>
      <w:r>
        <w:rPr>
          <w:rFonts w:hint="eastAsia" w:asciiTheme="minorEastAsia" w:hAnsiTheme="minorEastAsia" w:eastAsiaTheme="minorEastAsia" w:cstheme="minorEastAsia"/>
          <w:b/>
          <w:color w:val="auto"/>
          <w:sz w:val="36"/>
          <w:szCs w:val="36"/>
          <w:highlight w:val="none"/>
        </w:rPr>
        <w:t>说明一览表</w:t>
      </w:r>
    </w:p>
    <w:p w14:paraId="00EA9B8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(按投标货物合同包下序号类别分别填写)</w:t>
      </w:r>
    </w:p>
    <w:p w14:paraId="212D490E">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 xml:space="preserve">名称:                                      </w:t>
      </w:r>
    </w:p>
    <w:p w14:paraId="6E29E0A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p>
    <w:tbl>
      <w:tblPr>
        <w:tblStyle w:val="32"/>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035"/>
        <w:gridCol w:w="2138"/>
        <w:gridCol w:w="1408"/>
        <w:gridCol w:w="1408"/>
        <w:gridCol w:w="1408"/>
        <w:gridCol w:w="1408"/>
      </w:tblGrid>
      <w:tr w14:paraId="2F3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51" w:type="dxa"/>
          </w:tcPr>
          <w:p w14:paraId="33A10537">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035" w:type="dxa"/>
          </w:tcPr>
          <w:p w14:paraId="64F6BE2F">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2138" w:type="dxa"/>
          </w:tcPr>
          <w:p w14:paraId="6F7F460C">
            <w:pPr>
              <w:pStyle w:val="10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408" w:type="dxa"/>
          </w:tcPr>
          <w:p w14:paraId="44B6B6FE">
            <w:pPr>
              <w:pStyle w:val="10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08" w:type="dxa"/>
          </w:tcPr>
          <w:p w14:paraId="435DE02F">
            <w:pPr>
              <w:pStyle w:val="10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408" w:type="dxa"/>
          </w:tcPr>
          <w:p w14:paraId="367318A2">
            <w:pPr>
              <w:pStyle w:val="100"/>
              <w:jc w:val="center"/>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408" w:type="dxa"/>
          </w:tcPr>
          <w:p w14:paraId="315B4008">
            <w:pPr>
              <w:pStyle w:val="10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A18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51" w:type="dxa"/>
            <w:vMerge w:val="restart"/>
          </w:tcPr>
          <w:p w14:paraId="14D88434">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35" w:type="dxa"/>
          </w:tcPr>
          <w:p w14:paraId="23A58F73">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38" w:type="dxa"/>
          </w:tcPr>
          <w:p w14:paraId="6A7DBBAB">
            <w:pPr>
              <w:rPr>
                <w:rFonts w:hint="eastAsia" w:ascii="宋体" w:hAnsi="宋体" w:eastAsia="宋体" w:cs="宋体"/>
                <w:color w:val="auto"/>
                <w:sz w:val="24"/>
                <w:szCs w:val="24"/>
              </w:rPr>
            </w:pPr>
          </w:p>
        </w:tc>
        <w:tc>
          <w:tcPr>
            <w:tcW w:w="1408" w:type="dxa"/>
          </w:tcPr>
          <w:p w14:paraId="40437DE8">
            <w:pPr>
              <w:rPr>
                <w:rFonts w:hint="eastAsia" w:ascii="宋体" w:hAnsi="宋体" w:eastAsia="宋体" w:cs="宋体"/>
                <w:color w:val="auto"/>
                <w:sz w:val="24"/>
                <w:szCs w:val="24"/>
              </w:rPr>
            </w:pPr>
          </w:p>
        </w:tc>
        <w:tc>
          <w:tcPr>
            <w:tcW w:w="1408" w:type="dxa"/>
          </w:tcPr>
          <w:p w14:paraId="0211320F">
            <w:pPr>
              <w:rPr>
                <w:rFonts w:hint="eastAsia" w:ascii="宋体" w:hAnsi="宋体" w:eastAsia="宋体" w:cs="宋体"/>
                <w:color w:val="auto"/>
                <w:sz w:val="24"/>
                <w:szCs w:val="24"/>
              </w:rPr>
            </w:pPr>
          </w:p>
        </w:tc>
        <w:tc>
          <w:tcPr>
            <w:tcW w:w="1408" w:type="dxa"/>
          </w:tcPr>
          <w:p w14:paraId="4DBBDA65">
            <w:pPr>
              <w:rPr>
                <w:rFonts w:hint="eastAsia" w:ascii="宋体" w:hAnsi="宋体" w:eastAsia="宋体" w:cs="宋体"/>
                <w:color w:val="auto"/>
                <w:sz w:val="24"/>
                <w:szCs w:val="24"/>
              </w:rPr>
            </w:pPr>
          </w:p>
        </w:tc>
        <w:tc>
          <w:tcPr>
            <w:tcW w:w="1408" w:type="dxa"/>
          </w:tcPr>
          <w:p w14:paraId="763547C3">
            <w:pPr>
              <w:rPr>
                <w:rFonts w:hint="eastAsia" w:ascii="宋体" w:hAnsi="宋体" w:eastAsia="宋体" w:cs="宋体"/>
                <w:color w:val="auto"/>
                <w:sz w:val="24"/>
                <w:szCs w:val="24"/>
              </w:rPr>
            </w:pPr>
          </w:p>
        </w:tc>
      </w:tr>
      <w:tr w14:paraId="7C95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51" w:type="dxa"/>
            <w:vMerge w:val="continue"/>
          </w:tcPr>
          <w:p w14:paraId="67ACE557">
            <w:pPr>
              <w:rPr>
                <w:rFonts w:hint="eastAsia" w:ascii="宋体" w:hAnsi="宋体" w:eastAsia="宋体" w:cs="宋体"/>
                <w:color w:val="auto"/>
                <w:sz w:val="24"/>
                <w:szCs w:val="24"/>
              </w:rPr>
            </w:pPr>
          </w:p>
        </w:tc>
        <w:tc>
          <w:tcPr>
            <w:tcW w:w="1035" w:type="dxa"/>
          </w:tcPr>
          <w:p w14:paraId="775F9A7F">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38" w:type="dxa"/>
          </w:tcPr>
          <w:p w14:paraId="0F1A4004">
            <w:pPr>
              <w:rPr>
                <w:rFonts w:hint="eastAsia" w:ascii="宋体" w:hAnsi="宋体" w:eastAsia="宋体" w:cs="宋体"/>
                <w:color w:val="auto"/>
                <w:sz w:val="24"/>
                <w:szCs w:val="24"/>
              </w:rPr>
            </w:pPr>
          </w:p>
        </w:tc>
        <w:tc>
          <w:tcPr>
            <w:tcW w:w="1408" w:type="dxa"/>
          </w:tcPr>
          <w:p w14:paraId="250A2B59">
            <w:pPr>
              <w:rPr>
                <w:rFonts w:hint="eastAsia" w:ascii="宋体" w:hAnsi="宋体" w:eastAsia="宋体" w:cs="宋体"/>
                <w:color w:val="auto"/>
                <w:sz w:val="24"/>
                <w:szCs w:val="24"/>
              </w:rPr>
            </w:pPr>
          </w:p>
        </w:tc>
        <w:tc>
          <w:tcPr>
            <w:tcW w:w="1408" w:type="dxa"/>
          </w:tcPr>
          <w:p w14:paraId="28B37D93">
            <w:pPr>
              <w:rPr>
                <w:rFonts w:hint="eastAsia" w:ascii="宋体" w:hAnsi="宋体" w:eastAsia="宋体" w:cs="宋体"/>
                <w:color w:val="auto"/>
                <w:sz w:val="24"/>
                <w:szCs w:val="24"/>
              </w:rPr>
            </w:pPr>
          </w:p>
        </w:tc>
        <w:tc>
          <w:tcPr>
            <w:tcW w:w="1408" w:type="dxa"/>
          </w:tcPr>
          <w:p w14:paraId="38709856">
            <w:pPr>
              <w:rPr>
                <w:rFonts w:hint="eastAsia" w:ascii="宋体" w:hAnsi="宋体" w:eastAsia="宋体" w:cs="宋体"/>
                <w:color w:val="auto"/>
                <w:sz w:val="24"/>
                <w:szCs w:val="24"/>
              </w:rPr>
            </w:pPr>
          </w:p>
        </w:tc>
        <w:tc>
          <w:tcPr>
            <w:tcW w:w="1408" w:type="dxa"/>
          </w:tcPr>
          <w:p w14:paraId="05F308EF">
            <w:pPr>
              <w:rPr>
                <w:rFonts w:hint="eastAsia" w:ascii="宋体" w:hAnsi="宋体" w:eastAsia="宋体" w:cs="宋体"/>
                <w:color w:val="auto"/>
                <w:sz w:val="24"/>
                <w:szCs w:val="24"/>
              </w:rPr>
            </w:pPr>
          </w:p>
        </w:tc>
      </w:tr>
      <w:tr w14:paraId="50FF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51" w:type="dxa"/>
          </w:tcPr>
          <w:p w14:paraId="069D2B4B">
            <w:pPr>
              <w:pStyle w:val="1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35" w:type="dxa"/>
          </w:tcPr>
          <w:p w14:paraId="38531726">
            <w:pPr>
              <w:rPr>
                <w:rFonts w:hint="eastAsia" w:ascii="宋体" w:hAnsi="宋体" w:eastAsia="宋体" w:cs="宋体"/>
                <w:color w:val="auto"/>
                <w:sz w:val="24"/>
                <w:szCs w:val="24"/>
              </w:rPr>
            </w:pPr>
          </w:p>
        </w:tc>
        <w:tc>
          <w:tcPr>
            <w:tcW w:w="2138" w:type="dxa"/>
          </w:tcPr>
          <w:p w14:paraId="4A110756">
            <w:pPr>
              <w:rPr>
                <w:rFonts w:hint="eastAsia" w:ascii="宋体" w:hAnsi="宋体" w:eastAsia="宋体" w:cs="宋体"/>
                <w:color w:val="auto"/>
                <w:sz w:val="24"/>
                <w:szCs w:val="24"/>
              </w:rPr>
            </w:pPr>
          </w:p>
        </w:tc>
        <w:tc>
          <w:tcPr>
            <w:tcW w:w="1408" w:type="dxa"/>
          </w:tcPr>
          <w:p w14:paraId="3956EBA2">
            <w:pPr>
              <w:rPr>
                <w:rFonts w:hint="eastAsia" w:ascii="宋体" w:hAnsi="宋体" w:eastAsia="宋体" w:cs="宋体"/>
                <w:color w:val="auto"/>
                <w:sz w:val="24"/>
                <w:szCs w:val="24"/>
              </w:rPr>
            </w:pPr>
          </w:p>
        </w:tc>
        <w:tc>
          <w:tcPr>
            <w:tcW w:w="1408" w:type="dxa"/>
          </w:tcPr>
          <w:p w14:paraId="081A1AF2">
            <w:pPr>
              <w:rPr>
                <w:rFonts w:hint="eastAsia" w:ascii="宋体" w:hAnsi="宋体" w:eastAsia="宋体" w:cs="宋体"/>
                <w:color w:val="auto"/>
                <w:sz w:val="24"/>
                <w:szCs w:val="24"/>
              </w:rPr>
            </w:pPr>
          </w:p>
        </w:tc>
        <w:tc>
          <w:tcPr>
            <w:tcW w:w="1408" w:type="dxa"/>
          </w:tcPr>
          <w:p w14:paraId="2EC7B191">
            <w:pPr>
              <w:rPr>
                <w:rFonts w:hint="eastAsia" w:ascii="宋体" w:hAnsi="宋体" w:eastAsia="宋体" w:cs="宋体"/>
                <w:color w:val="auto"/>
                <w:sz w:val="24"/>
                <w:szCs w:val="24"/>
              </w:rPr>
            </w:pPr>
          </w:p>
        </w:tc>
        <w:tc>
          <w:tcPr>
            <w:tcW w:w="1408" w:type="dxa"/>
          </w:tcPr>
          <w:p w14:paraId="1B1C8C70">
            <w:pPr>
              <w:rPr>
                <w:rFonts w:hint="eastAsia" w:ascii="宋体" w:hAnsi="宋体" w:eastAsia="宋体" w:cs="宋体"/>
                <w:color w:val="auto"/>
                <w:sz w:val="24"/>
                <w:szCs w:val="24"/>
              </w:rPr>
            </w:pPr>
          </w:p>
        </w:tc>
      </w:tr>
    </w:tbl>
    <w:p w14:paraId="6AB48FAC">
      <w:pPr>
        <w:spacing w:line="400" w:lineRule="exact"/>
        <w:rPr>
          <w:rFonts w:hint="eastAsia" w:asciiTheme="minorEastAsia" w:hAnsiTheme="minorEastAsia" w:eastAsiaTheme="minorEastAsia" w:cstheme="minorEastAsia"/>
          <w:color w:val="auto"/>
          <w:sz w:val="24"/>
          <w:szCs w:val="24"/>
          <w:highlight w:val="none"/>
        </w:rPr>
      </w:pPr>
    </w:p>
    <w:p w14:paraId="0F223299">
      <w:pPr>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4B8E746">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24091CDB">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945A5C">
      <w:pPr>
        <w:spacing w:line="400" w:lineRule="exact"/>
        <w:rPr>
          <w:rFonts w:hint="eastAsia" w:asciiTheme="minorEastAsia" w:hAnsiTheme="minorEastAsia" w:eastAsiaTheme="minorEastAsia" w:cstheme="minorEastAsia"/>
          <w:color w:val="auto"/>
          <w:szCs w:val="21"/>
          <w:highlight w:val="none"/>
          <w:u w:val="single"/>
        </w:rPr>
      </w:pPr>
    </w:p>
    <w:p w14:paraId="42CF46B8">
      <w:pPr>
        <w:spacing w:line="400" w:lineRule="exact"/>
        <w:rPr>
          <w:rFonts w:hint="eastAsia" w:asciiTheme="minorEastAsia" w:hAnsiTheme="minorEastAsia" w:eastAsiaTheme="minorEastAsia" w:cstheme="minorEastAsia"/>
          <w:color w:val="auto"/>
          <w:sz w:val="24"/>
          <w:highlight w:val="none"/>
          <w:u w:val="single"/>
        </w:rPr>
      </w:pPr>
    </w:p>
    <w:p w14:paraId="4437D3A2">
      <w:pPr>
        <w:pStyle w:val="49"/>
        <w:spacing w:line="400" w:lineRule="exact"/>
        <w:jc w:val="center"/>
        <w:outlineLvl w:val="9"/>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bookmarkStart w:id="25" w:name="_Toc5860"/>
    </w:p>
    <w:p w14:paraId="03808435">
      <w:pPr>
        <w:pStyle w:val="49"/>
        <w:spacing w:line="400" w:lineRule="exact"/>
        <w:jc w:val="center"/>
        <w:outlineLvl w:val="9"/>
        <w:rPr>
          <w:rFonts w:hint="eastAsia" w:asciiTheme="minorEastAsia" w:hAnsiTheme="minorEastAsia" w:eastAsiaTheme="minorEastAsia" w:cstheme="minorEastAsia"/>
          <w:b/>
          <w:color w:val="auto"/>
          <w:sz w:val="36"/>
          <w:highlight w:val="none"/>
          <w:lang w:eastAsia="zh-CN"/>
        </w:rPr>
      </w:pPr>
      <w:bookmarkStart w:id="26" w:name="_Toc22862"/>
      <w:r>
        <w:rPr>
          <w:rFonts w:hint="eastAsia" w:asciiTheme="minorEastAsia" w:hAnsiTheme="minorEastAsia" w:eastAsiaTheme="minorEastAsia" w:cstheme="minorEastAsia"/>
          <w:b/>
          <w:color w:val="auto"/>
          <w:sz w:val="36"/>
          <w:highlight w:val="none"/>
          <w:lang w:val="en-US" w:eastAsia="zh-CN"/>
        </w:rPr>
        <w:t>2、服务</w:t>
      </w:r>
      <w:r>
        <w:rPr>
          <w:rFonts w:hint="eastAsia" w:asciiTheme="minorEastAsia" w:hAnsiTheme="minorEastAsia" w:eastAsiaTheme="minorEastAsia" w:cstheme="minorEastAsia"/>
          <w:b/>
          <w:color w:val="auto"/>
          <w:sz w:val="36"/>
          <w:highlight w:val="none"/>
          <w:lang w:eastAsia="zh-CN"/>
        </w:rPr>
        <w:t>范围</w:t>
      </w:r>
    </w:p>
    <w:p w14:paraId="4DF69EBA">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F71BED7">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3E2A523C">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4508DF66">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36FCB86B">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5B28893C">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0472ACFE">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550F1B2B">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CC0665B">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4F5D4D42">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EB0F53B">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CEB3034">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02F1BF3">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592B7E18">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355BD974">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AC32D30">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1A552B15">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26A9B2CA">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E117878">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2DB8FB95">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5D4B518D">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70954B2">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5060B8E5">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4E764A56">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06961276">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54A473E">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5EF0631">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01AB2A8B">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3FC64D20">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FF49353">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06CAFAEE">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65AC0D8C">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0D4E5FA5">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37E3795F">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7412CD70">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444F86C4">
      <w:pPr>
        <w:pStyle w:val="49"/>
        <w:spacing w:line="400" w:lineRule="exact"/>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lang w:val="en-US" w:eastAsia="zh-CN"/>
        </w:rPr>
        <w:t>3、</w:t>
      </w:r>
      <w:r>
        <w:rPr>
          <w:rFonts w:hint="eastAsia" w:asciiTheme="minorEastAsia" w:hAnsiTheme="minorEastAsia" w:eastAsiaTheme="minorEastAsia" w:cstheme="minorEastAsia"/>
          <w:b/>
          <w:color w:val="auto"/>
          <w:sz w:val="36"/>
          <w:highlight w:val="none"/>
        </w:rPr>
        <w:t>技术和服务要求响应表</w:t>
      </w:r>
      <w:bookmarkEnd w:id="25"/>
      <w:bookmarkEnd w:id="26"/>
    </w:p>
    <w:p w14:paraId="42EF6705">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招标编号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tbl>
      <w:tblPr>
        <w:tblStyle w:val="32"/>
        <w:tblW w:w="9873" w:type="dxa"/>
        <w:tblInd w:w="-25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0"/>
        <w:gridCol w:w="773"/>
        <w:gridCol w:w="3357"/>
        <w:gridCol w:w="3603"/>
        <w:gridCol w:w="1290"/>
      </w:tblGrid>
      <w:tr w14:paraId="15B1111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BDA0E4">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w:t>
            </w:r>
          </w:p>
        </w:tc>
        <w:tc>
          <w:tcPr>
            <w:tcW w:w="77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394CC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3357"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2312C5D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技术和服务要求</w:t>
            </w:r>
          </w:p>
        </w:tc>
        <w:tc>
          <w:tcPr>
            <w:tcW w:w="3603"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2DEC7B0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投标响应</w:t>
            </w:r>
          </w:p>
        </w:tc>
        <w:tc>
          <w:tcPr>
            <w:tcW w:w="1290"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265A25D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是否偏离及说明</w:t>
            </w:r>
          </w:p>
        </w:tc>
      </w:tr>
      <w:tr w14:paraId="7B990A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14:paraId="30A1B4C4">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773" w:type="dxa"/>
            <w:vMerge w:val="restart"/>
            <w:tcBorders>
              <w:top w:val="nil"/>
              <w:left w:val="nil"/>
              <w:right w:val="single" w:color="auto" w:sz="4" w:space="0"/>
            </w:tcBorders>
            <w:shd w:val="clear" w:color="auto" w:fill="FFFFFF"/>
            <w:tcMar>
              <w:top w:w="0" w:type="dxa"/>
              <w:left w:w="105" w:type="dxa"/>
              <w:bottom w:w="0" w:type="dxa"/>
              <w:right w:w="105" w:type="dxa"/>
            </w:tcMar>
            <w:vAlign w:val="center"/>
          </w:tcPr>
          <w:p w14:paraId="498EAE8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94E559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F9C646E">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55AEB52">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5948F8F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127C997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6DF8603C">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8BEBF75">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81B7A7C">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B16EBB2">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58FCF36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4DEA59D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BB8A40E">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E24F16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A90FA98">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AC3758C">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D39D51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45EE19C5">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33445802">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78E1204">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EEAE14E">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F3F665F">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6C334B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E9D30F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986922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67FA039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234B54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DB2ED3A">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4E4866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704A6033">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2BFF9E22">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5A9175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8A92D43">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A952EFC">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366C18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407ED6B1">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3D3F1F4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D15A5BE">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124B8E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FDB2765">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445542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4B52F3A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F50E982">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EA056A4">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2B64930">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140C1FD">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8527D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1B8826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65553A1">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20E564F">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A5625B6">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EDBA6BE">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45726B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66E80AF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2D7441E">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EE5D2C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5F9B46C">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03FAE459">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2CF25C1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1A59F095">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17DABC9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72B892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0F536AB">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66AAF132">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7454891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72739F2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4C3A74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09F0321">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8D02B0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3951213">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9A5914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2653C8C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75D76A0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85D0C2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54FCFAA">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7BB67E5">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F33B60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6BF8DD52">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08B4251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0BE6D24B">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23AFE33">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B07BABA">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01EAF9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5F0698A">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5838F95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56780D8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52462D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00690827">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4B90B4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2A2ADE8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144AF9B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67E14251">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28AF87E">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6E588727">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54F9A6F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61CCE3CC">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right w:val="single" w:color="auto" w:sz="4" w:space="0"/>
            </w:tcBorders>
            <w:shd w:val="clear" w:color="auto" w:fill="FFFFFF"/>
            <w:tcMar>
              <w:top w:w="0" w:type="dxa"/>
              <w:left w:w="105" w:type="dxa"/>
              <w:bottom w:w="0" w:type="dxa"/>
              <w:right w:w="105" w:type="dxa"/>
            </w:tcMar>
            <w:vAlign w:val="center"/>
          </w:tcPr>
          <w:p w14:paraId="0248065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7E8311F8">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C37F66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8161E03">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2C972B1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0"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5E97A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773" w:type="dxa"/>
            <w:vMerge w:val="continue"/>
            <w:tcBorders>
              <w:left w:val="nil"/>
              <w:bottom w:val="single" w:color="auto" w:sz="6" w:space="0"/>
              <w:right w:val="single" w:color="auto" w:sz="4" w:space="0"/>
            </w:tcBorders>
            <w:shd w:val="clear" w:color="auto" w:fill="FFFFFF"/>
            <w:tcMar>
              <w:top w:w="0" w:type="dxa"/>
              <w:left w:w="105" w:type="dxa"/>
              <w:bottom w:w="0" w:type="dxa"/>
              <w:right w:w="105" w:type="dxa"/>
            </w:tcMar>
            <w:vAlign w:val="center"/>
          </w:tcPr>
          <w:p w14:paraId="6111C77A">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35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6882FBB">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1A00F25">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4E9C9A14">
            <w:pPr>
              <w:widowControl/>
              <w:spacing w:line="400" w:lineRule="exact"/>
              <w:jc w:val="left"/>
              <w:rPr>
                <w:rFonts w:hint="eastAsia" w:asciiTheme="minorEastAsia" w:hAnsiTheme="minorEastAsia" w:eastAsiaTheme="minorEastAsia" w:cstheme="minorEastAsia"/>
                <w:color w:val="auto"/>
                <w:sz w:val="24"/>
                <w:szCs w:val="24"/>
                <w:highlight w:val="none"/>
              </w:rPr>
            </w:pPr>
          </w:p>
        </w:tc>
      </w:tr>
    </w:tbl>
    <w:p w14:paraId="04E10E79">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注意</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732A2274">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1、本表应按照下列规定填写</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3A9CBEE5">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1“技术和服务要求”项下填写的内容应与招标文件第三章“招标内容及要求”中</w:t>
      </w:r>
      <w:r>
        <w:rPr>
          <w:rFonts w:hint="eastAsia" w:asciiTheme="minorEastAsia" w:hAnsiTheme="minorEastAsia" w:eastAsiaTheme="minorEastAsia" w:cstheme="minorEastAsia"/>
          <w:b/>
          <w:bCs/>
          <w:color w:val="auto"/>
          <w:sz w:val="24"/>
          <w:szCs w:val="24"/>
          <w:highlight w:val="none"/>
          <w:shd w:val="clear" w:color="auto" w:fill="FFFFFF"/>
        </w:rPr>
        <w:t>二、</w:t>
      </w:r>
      <w:r>
        <w:rPr>
          <w:rFonts w:hint="eastAsia" w:asciiTheme="minorEastAsia" w:hAnsiTheme="minorEastAsia" w:eastAsiaTheme="minorEastAsia" w:cstheme="minorEastAsia"/>
          <w:b/>
          <w:color w:val="auto"/>
          <w:szCs w:val="24"/>
          <w:highlight w:val="none"/>
        </w:rPr>
        <w:t>技术和服务要求</w:t>
      </w:r>
      <w:r>
        <w:rPr>
          <w:rFonts w:hint="eastAsia" w:asciiTheme="minorEastAsia" w:hAnsiTheme="minorEastAsia" w:eastAsiaTheme="minorEastAsia" w:cstheme="minorEastAsia"/>
          <w:color w:val="auto"/>
          <w:sz w:val="24"/>
          <w:szCs w:val="24"/>
          <w:highlight w:val="none"/>
          <w:shd w:val="clear" w:color="auto" w:fill="FFFFFF"/>
        </w:rPr>
        <w:t>的内容保持一致。</w:t>
      </w:r>
    </w:p>
    <w:p w14:paraId="276C2103">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2“投标响应”项下应填写具体的响应内容并与“技术和服务要求”项下填写的内容逐项对应；对“技术和服务要求”项下涉及“≥或＞”、“≤或＜”及某个区间值范围内的内容，应填写具体的数值。</w:t>
      </w:r>
    </w:p>
    <w:p w14:paraId="22417CEA">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3“是否偏离及说明”项下应按下列规定填写</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优于的，填写“正偏离”；符合的，填写“无偏离”；低于的，填写“负偏离”。</w:t>
      </w:r>
    </w:p>
    <w:p w14:paraId="67CC21C5">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2、投标人需要说明的内容若需特殊表达，应先在本表中进行相应说明，再另页应答。 </w:t>
      </w:r>
    </w:p>
    <w:p w14:paraId="5B77ACA3">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(全称并加盖单位公章)</w:t>
      </w:r>
    </w:p>
    <w:p w14:paraId="644CC6DF">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投标人代表签字</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p w14:paraId="341477A0">
      <w:pPr>
        <w:pStyle w:val="26"/>
        <w:spacing w:before="0" w:beforeAutospacing="0" w:after="0" w:afterAutospacing="0" w:line="400" w:lineRule="exact"/>
        <w:ind w:right="-362"/>
        <w:rPr>
          <w:rFonts w:hint="eastAsia" w:asciiTheme="minorEastAsia" w:hAnsiTheme="minorEastAsia" w:eastAsiaTheme="minorEastAsia" w:cstheme="minorEastAsia"/>
          <w:b/>
          <w:color w:val="auto"/>
          <w:kern w:val="2"/>
          <w:sz w:val="36"/>
          <w:highlight w:val="none"/>
        </w:rPr>
      </w:pPr>
      <w:r>
        <w:rPr>
          <w:rFonts w:hint="eastAsia" w:asciiTheme="minorEastAsia" w:hAnsiTheme="minorEastAsia" w:eastAsiaTheme="minorEastAsia" w:cstheme="minorEastAsia"/>
          <w:color w:val="auto"/>
          <w:sz w:val="24"/>
          <w:szCs w:val="24"/>
          <w:highlight w:val="none"/>
          <w:shd w:val="clear" w:color="auto" w:fill="FFFFFF"/>
        </w:rPr>
        <w:t>日期</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年</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月</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日</w:t>
      </w:r>
    </w:p>
    <w:p w14:paraId="0AAC1556">
      <w:pPr>
        <w:pStyle w:val="26"/>
        <w:spacing w:before="0" w:beforeAutospacing="0" w:after="0" w:afterAutospacing="0" w:line="400" w:lineRule="exact"/>
        <w:ind w:left="-362" w:right="-36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2"/>
          <w:sz w:val="36"/>
          <w:highlight w:val="none"/>
          <w:lang w:val="en-US" w:eastAsia="zh-CN"/>
        </w:rPr>
        <w:t>4、</w:t>
      </w:r>
      <w:r>
        <w:rPr>
          <w:rFonts w:hint="eastAsia" w:asciiTheme="minorEastAsia" w:hAnsiTheme="minorEastAsia" w:eastAsiaTheme="minorEastAsia" w:cstheme="minorEastAsia"/>
          <w:b/>
          <w:color w:val="auto"/>
          <w:kern w:val="2"/>
          <w:sz w:val="36"/>
          <w:highlight w:val="none"/>
        </w:rPr>
        <w:t>商务条件响应表</w:t>
      </w:r>
    </w:p>
    <w:p w14:paraId="56353F2E">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招标编号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tbl>
      <w:tblPr>
        <w:tblStyle w:val="32"/>
        <w:tblW w:w="9469"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931"/>
        <w:gridCol w:w="3490"/>
        <w:gridCol w:w="2645"/>
        <w:gridCol w:w="1443"/>
      </w:tblGrid>
      <w:tr w14:paraId="6F3ECBE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14228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w:t>
            </w:r>
          </w:p>
        </w:tc>
        <w:tc>
          <w:tcPr>
            <w:tcW w:w="93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A7CFD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34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E8ABC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商务条件</w:t>
            </w:r>
          </w:p>
        </w:tc>
        <w:tc>
          <w:tcPr>
            <w:tcW w:w="26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15D69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投标响应</w:t>
            </w:r>
          </w:p>
        </w:tc>
        <w:tc>
          <w:tcPr>
            <w:tcW w:w="144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A19A8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是否偏离及说明</w:t>
            </w:r>
          </w:p>
        </w:tc>
      </w:tr>
      <w:tr w14:paraId="4D12ADF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E5CC3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931" w:type="dxa"/>
            <w:vMerge w:val="restart"/>
            <w:tcBorders>
              <w:top w:val="nil"/>
              <w:left w:val="nil"/>
              <w:right w:val="single" w:color="auto" w:sz="6" w:space="0"/>
            </w:tcBorders>
            <w:shd w:val="clear" w:color="auto" w:fill="FFFFFF"/>
            <w:tcMar>
              <w:top w:w="0" w:type="dxa"/>
              <w:left w:w="105" w:type="dxa"/>
              <w:bottom w:w="0" w:type="dxa"/>
              <w:right w:w="105" w:type="dxa"/>
            </w:tcMar>
            <w:vAlign w:val="center"/>
          </w:tcPr>
          <w:p w14:paraId="265EA7C1">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45D1FCB">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2D82E2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AAEAF4F">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5D5FAE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6D0EE3F9">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433C820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2759CCD8">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54A1560">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529DB3B">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4D91317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5F5A5B2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7954EB16">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C9ECA20">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2EE411B">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CB3927B">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E56B38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72235B0A">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3BC0B8B3">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1F6828F">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18A04F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2E859ED">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5E61CD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0861EBB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4170402E">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D636E9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ACD8B21">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2EE7542">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53F36C9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7E44359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1305B7A0">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2E452303">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51972C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F83F0E0">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462CF55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07F44405">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3C30DF7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E43465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A3DD57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D72FB28">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76368BD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6891C2BE">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4F3560BC">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3487A34">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2CB2FB0">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114E6D1">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5CB78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03BBACD0">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4262776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E570A1A">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71E406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2C21349">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4CE20BD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839AE44">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640F66B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B196D64">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0A59784">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03164B8">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88CD3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4C8011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449D3BD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2C7FF2E">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029D2CF">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AE0FF6C">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1DDE05D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2720FA3A">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1C7D165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BEF9A6F">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285BB577">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3B996EC">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24A2A73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1A57FD58">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0F94A900">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774F7555">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4630728">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898060A">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428174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326659DF">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7842A86B">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6303E2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AE98CCD">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3352D59">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7E57C03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2FB9A8F7">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5C855BF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451ED6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CA01BE9">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6F292F3">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00B3D21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14:paraId="2276AF71">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31" w:type="dxa"/>
            <w:vMerge w:val="continue"/>
            <w:tcBorders>
              <w:left w:val="nil"/>
              <w:right w:val="single" w:color="auto" w:sz="6" w:space="0"/>
            </w:tcBorders>
            <w:shd w:val="clear" w:color="auto" w:fill="FFFFFF"/>
            <w:tcMar>
              <w:top w:w="0" w:type="dxa"/>
              <w:left w:w="105" w:type="dxa"/>
              <w:bottom w:w="0" w:type="dxa"/>
              <w:right w:w="105" w:type="dxa"/>
            </w:tcMar>
            <w:vAlign w:val="center"/>
          </w:tcPr>
          <w:p w14:paraId="59B4B992">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4563FC18">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02215D42">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5025B32">
            <w:pPr>
              <w:widowControl/>
              <w:spacing w:line="400" w:lineRule="exact"/>
              <w:jc w:val="left"/>
              <w:rPr>
                <w:rFonts w:hint="eastAsia" w:asciiTheme="minorEastAsia" w:hAnsiTheme="minorEastAsia" w:eastAsiaTheme="minorEastAsia" w:cstheme="minorEastAsia"/>
                <w:color w:val="auto"/>
                <w:sz w:val="24"/>
                <w:szCs w:val="24"/>
                <w:highlight w:val="none"/>
              </w:rPr>
            </w:pPr>
          </w:p>
        </w:tc>
      </w:tr>
      <w:tr w14:paraId="390DA42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AE7A35">
            <w:pPr>
              <w:spacing w:line="400" w:lineRule="exact"/>
              <w:rPr>
                <w:rFonts w:hint="eastAsia" w:asciiTheme="minorEastAsia" w:hAnsiTheme="minorEastAsia" w:eastAsiaTheme="minorEastAsia" w:cstheme="minorEastAsia"/>
                <w:color w:val="auto"/>
                <w:sz w:val="24"/>
                <w:szCs w:val="24"/>
                <w:highlight w:val="none"/>
              </w:rPr>
            </w:pPr>
          </w:p>
        </w:tc>
        <w:tc>
          <w:tcPr>
            <w:tcW w:w="931" w:type="dxa"/>
            <w:vMerge w:val="continue"/>
            <w:tcBorders>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CBD26D">
            <w:pPr>
              <w:pStyle w:val="26"/>
              <w:spacing w:before="0" w:beforeAutospacing="0" w:after="0" w:afterAutospacing="0" w:line="400" w:lineRule="exact"/>
              <w:jc w:val="center"/>
              <w:rPr>
                <w:rFonts w:hint="eastAsia" w:asciiTheme="minorEastAsia" w:hAnsiTheme="minorEastAsia" w:eastAsiaTheme="minorEastAsia" w:cstheme="minorEastAsia"/>
                <w:color w:val="auto"/>
                <w:sz w:val="24"/>
                <w:szCs w:val="24"/>
                <w:highlight w:val="none"/>
              </w:rPr>
            </w:pPr>
          </w:p>
        </w:tc>
        <w:tc>
          <w:tcPr>
            <w:tcW w:w="34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BD55AD3">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26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62A0F6CF">
            <w:pPr>
              <w:widowControl/>
              <w:spacing w:line="400" w:lineRule="exact"/>
              <w:jc w:val="left"/>
              <w:rPr>
                <w:rFonts w:hint="eastAsia" w:asciiTheme="minorEastAsia" w:hAnsiTheme="minorEastAsia" w:eastAsiaTheme="minorEastAsia" w:cstheme="minorEastAsia"/>
                <w:color w:val="auto"/>
                <w:sz w:val="24"/>
                <w:szCs w:val="24"/>
                <w:highlight w:val="none"/>
              </w:rPr>
            </w:pPr>
          </w:p>
        </w:tc>
        <w:tc>
          <w:tcPr>
            <w:tcW w:w="1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130D421E">
            <w:pPr>
              <w:widowControl/>
              <w:spacing w:line="400" w:lineRule="exact"/>
              <w:jc w:val="left"/>
              <w:rPr>
                <w:rFonts w:hint="eastAsia" w:asciiTheme="minorEastAsia" w:hAnsiTheme="minorEastAsia" w:eastAsiaTheme="minorEastAsia" w:cstheme="minorEastAsia"/>
                <w:color w:val="auto"/>
                <w:sz w:val="24"/>
                <w:szCs w:val="24"/>
                <w:highlight w:val="none"/>
              </w:rPr>
            </w:pPr>
          </w:p>
        </w:tc>
      </w:tr>
    </w:tbl>
    <w:p w14:paraId="41B3D749">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注意</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2838D1AD">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rPr>
        <w:t>1、本表应按照下列规定填写</w:t>
      </w:r>
      <w:r>
        <w:rPr>
          <w:rFonts w:hint="eastAsia" w:asciiTheme="minorEastAsia" w:hAnsiTheme="minorEastAsia" w:eastAsiaTheme="minorEastAsia" w:cstheme="minorEastAsia"/>
          <w:color w:val="auto"/>
          <w:sz w:val="24"/>
          <w:szCs w:val="24"/>
          <w:highlight w:val="none"/>
          <w:shd w:val="clear" w:color="auto" w:fill="FFFFFF"/>
          <w:lang w:eastAsia="zh-CN"/>
        </w:rPr>
        <w:t>:</w:t>
      </w:r>
    </w:p>
    <w:p w14:paraId="242C8A09">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1“商务条件”项下填写的内容应与招标文件第三章“招标内容及要求”</w:t>
      </w:r>
      <w:r>
        <w:rPr>
          <w:rFonts w:hint="eastAsia" w:asciiTheme="minorEastAsia" w:hAnsiTheme="minorEastAsia" w:eastAsiaTheme="minorEastAsia" w:cstheme="minorEastAsia"/>
          <w:b/>
          <w:bCs/>
          <w:color w:val="auto"/>
          <w:sz w:val="24"/>
          <w:szCs w:val="24"/>
          <w:highlight w:val="none"/>
          <w:shd w:val="clear" w:color="auto" w:fill="FFFFFF"/>
        </w:rPr>
        <w:t>中三、</w:t>
      </w:r>
      <w:r>
        <w:rPr>
          <w:rFonts w:hint="eastAsia" w:asciiTheme="minorEastAsia" w:hAnsiTheme="minorEastAsia" w:eastAsiaTheme="minorEastAsia" w:cstheme="minorEastAsia"/>
          <w:b/>
          <w:bCs w:val="0"/>
          <w:color w:val="auto"/>
          <w:kern w:val="0"/>
          <w:sz w:val="24"/>
          <w:highlight w:val="none"/>
        </w:rPr>
        <w:t>商务条件</w:t>
      </w:r>
      <w:r>
        <w:rPr>
          <w:rFonts w:hint="eastAsia" w:asciiTheme="minorEastAsia" w:hAnsiTheme="minorEastAsia" w:eastAsiaTheme="minorEastAsia" w:cstheme="minorEastAsia"/>
          <w:b/>
          <w:bCs w:val="0"/>
          <w:color w:val="auto"/>
          <w:kern w:val="0"/>
          <w:sz w:val="24"/>
          <w:highlight w:val="none"/>
          <w:lang w:val="en-US" w:eastAsia="zh-CN"/>
        </w:rPr>
        <w:t>中</w:t>
      </w:r>
      <w:r>
        <w:rPr>
          <w:rFonts w:hint="eastAsia" w:asciiTheme="minorEastAsia" w:hAnsiTheme="minorEastAsia" w:eastAsiaTheme="minorEastAsia" w:cstheme="minorEastAsia"/>
          <w:color w:val="auto"/>
          <w:sz w:val="24"/>
          <w:szCs w:val="24"/>
          <w:highlight w:val="none"/>
          <w:shd w:val="clear" w:color="auto" w:fill="FFFFFF"/>
        </w:rPr>
        <w:t>的内容保持一致。</w:t>
      </w:r>
    </w:p>
    <w:p w14:paraId="57C332D5">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2、投标人须在满足招标文件要求的条件下，可结合自身实际情况给予更优的承诺。</w:t>
      </w:r>
    </w:p>
    <w:p w14:paraId="4D48C0C3">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3“投标响应”项下应填写具体的响应内容并与“商务条件”项下填写的内容逐项对应；对“商务条件”项下涉及“≥或＞”、“≤或＜”及某个区间值范围内的内容，应填写具体的数值。</w:t>
      </w:r>
    </w:p>
    <w:p w14:paraId="6C9F2DDC">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1</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4“是否偏离及说明”项下应按下列规定填写</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优于的，填写“正偏离”；符合的，填写“无偏离”；低于的，填写“负偏离”。</w:t>
      </w:r>
    </w:p>
    <w:p w14:paraId="5F5E74CC">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2、投标人需要说明的内容若需特殊表达，应先在本表中进行相应说明，再另页应答。</w:t>
      </w:r>
    </w:p>
    <w:p w14:paraId="4F53190B">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(全称并加盖单位公章)</w:t>
      </w:r>
    </w:p>
    <w:p w14:paraId="67277378">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投标人代表签字</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p>
    <w:p w14:paraId="2C3E35A8">
      <w:pPr>
        <w:pStyle w:val="26"/>
        <w:spacing w:before="0" w:beforeAutospacing="0" w:after="0" w:afterAutospacing="0" w:line="400" w:lineRule="exact"/>
        <w:ind w:righ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日期</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年</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月</w:t>
      </w:r>
      <w:r>
        <w:rPr>
          <w:rFonts w:hint="eastAsia" w:asciiTheme="minorEastAsia" w:hAnsiTheme="minorEastAsia" w:eastAsiaTheme="minorEastAsia" w:cstheme="minorEastAsia"/>
          <w:color w:val="auto"/>
          <w:sz w:val="24"/>
          <w:szCs w:val="24"/>
          <w:highlight w:val="none"/>
          <w:u w:val="single"/>
          <w:shd w:val="clear" w:color="auto" w:fill="FFFFFF"/>
        </w:rPr>
        <w:t>   </w:t>
      </w:r>
      <w:r>
        <w:rPr>
          <w:rFonts w:hint="eastAsia" w:asciiTheme="minorEastAsia" w:hAnsiTheme="minorEastAsia" w:eastAsiaTheme="minorEastAsia" w:cstheme="minorEastAsia"/>
          <w:color w:val="auto"/>
          <w:sz w:val="24"/>
          <w:szCs w:val="24"/>
          <w:highlight w:val="none"/>
          <w:shd w:val="clear" w:color="auto" w:fill="FFFFFF"/>
        </w:rPr>
        <w:t>日</w:t>
      </w:r>
    </w:p>
    <w:p w14:paraId="5294D9EF">
      <w:pPr>
        <w:spacing w:line="400" w:lineRule="exact"/>
        <w:rPr>
          <w:rFonts w:hint="eastAsia" w:asciiTheme="minorEastAsia" w:hAnsiTheme="minorEastAsia" w:eastAsiaTheme="minorEastAsia" w:cstheme="minorEastAsia"/>
          <w:color w:val="auto"/>
          <w:highlight w:val="none"/>
        </w:rPr>
      </w:pPr>
    </w:p>
    <w:p w14:paraId="4B081DDC">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lang w:val="en-US" w:eastAsia="zh-CN"/>
        </w:rPr>
        <w:t>5、</w:t>
      </w:r>
      <w:r>
        <w:rPr>
          <w:rFonts w:hint="eastAsia" w:asciiTheme="minorEastAsia" w:hAnsiTheme="minorEastAsia" w:eastAsiaTheme="minorEastAsia" w:cstheme="minorEastAsia"/>
          <w:b/>
          <w:color w:val="auto"/>
          <w:sz w:val="36"/>
          <w:highlight w:val="none"/>
        </w:rPr>
        <w:t>质量保证与售后服务承诺</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6618"/>
      </w:tblGrid>
      <w:tr w14:paraId="1C9D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93" w:type="dxa"/>
            <w:vAlign w:val="center"/>
          </w:tcPr>
          <w:p w14:paraId="0ABAA5D4">
            <w:pPr>
              <w:tabs>
                <w:tab w:val="left" w:pos="5355"/>
              </w:tabs>
              <w:spacing w:line="400" w:lineRule="exact"/>
              <w:ind w:right="-15" w:rightChars="-7"/>
              <w:jc w:val="center"/>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项目</w:t>
            </w:r>
            <w:r>
              <w:rPr>
                <w:rFonts w:hint="eastAsia" w:asciiTheme="minorEastAsia" w:hAnsiTheme="minorEastAsia" w:eastAsiaTheme="minorEastAsia" w:cstheme="minorEastAsia"/>
                <w:color w:val="auto"/>
                <w:spacing w:val="-10"/>
                <w:sz w:val="24"/>
                <w:szCs w:val="24"/>
                <w:highlight w:val="none"/>
              </w:rPr>
              <w:t>名称</w:t>
            </w:r>
          </w:p>
        </w:tc>
        <w:tc>
          <w:tcPr>
            <w:tcW w:w="6618" w:type="dxa"/>
            <w:vAlign w:val="center"/>
          </w:tcPr>
          <w:p w14:paraId="2B7C25C6">
            <w:pPr>
              <w:tabs>
                <w:tab w:val="left" w:pos="5355"/>
              </w:tabs>
              <w:spacing w:line="400" w:lineRule="exact"/>
              <w:ind w:right="-15" w:rightChars="-7"/>
              <w:jc w:val="center"/>
              <w:rPr>
                <w:rFonts w:hint="eastAsia" w:asciiTheme="minorEastAsia" w:hAnsiTheme="minorEastAsia" w:eastAsiaTheme="minorEastAsia" w:cstheme="minorEastAsia"/>
                <w:color w:val="auto"/>
                <w:spacing w:val="-10"/>
                <w:sz w:val="24"/>
                <w:szCs w:val="24"/>
                <w:highlight w:val="none"/>
              </w:rPr>
            </w:pPr>
          </w:p>
        </w:tc>
      </w:tr>
      <w:tr w14:paraId="72D2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6" w:hRule="atLeast"/>
          <w:jc w:val="center"/>
        </w:trPr>
        <w:tc>
          <w:tcPr>
            <w:tcW w:w="9211" w:type="dxa"/>
            <w:gridSpan w:val="2"/>
            <w:tcBorders>
              <w:bottom w:val="single" w:color="auto" w:sz="4" w:space="0"/>
            </w:tcBorders>
            <w:vAlign w:val="top"/>
          </w:tcPr>
          <w:p w14:paraId="39C5B2C6">
            <w:pPr>
              <w:tabs>
                <w:tab w:val="left" w:pos="5355"/>
              </w:tabs>
              <w:spacing w:line="400" w:lineRule="exact"/>
              <w:rPr>
                <w:rFonts w:hint="eastAsia" w:asciiTheme="minorEastAsia" w:hAnsiTheme="minorEastAsia" w:eastAsiaTheme="minorEastAsia" w:cstheme="minorEastAsia"/>
                <w:iCs/>
                <w:color w:val="auto"/>
                <w:sz w:val="24"/>
                <w:szCs w:val="24"/>
                <w:highlight w:val="none"/>
              </w:rPr>
            </w:pPr>
          </w:p>
          <w:p w14:paraId="782DC2F2">
            <w:pPr>
              <w:tabs>
                <w:tab w:val="left" w:pos="5355"/>
              </w:tabs>
              <w:spacing w:line="400" w:lineRule="exact"/>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rPr>
              <w:t>填写要求</w:t>
            </w:r>
            <w:r>
              <w:rPr>
                <w:rFonts w:hint="eastAsia" w:asciiTheme="minorEastAsia" w:hAnsiTheme="minorEastAsia" w:eastAsiaTheme="minorEastAsia" w:cstheme="minorEastAsia"/>
                <w:iCs/>
                <w:color w:val="auto"/>
                <w:sz w:val="24"/>
                <w:szCs w:val="24"/>
                <w:highlight w:val="none"/>
                <w:lang w:eastAsia="zh-CN"/>
              </w:rPr>
              <w:t>:</w:t>
            </w:r>
          </w:p>
          <w:p w14:paraId="44560AAE">
            <w:pPr>
              <w:tabs>
                <w:tab w:val="left" w:pos="5355"/>
              </w:tabs>
              <w:spacing w:line="400" w:lineRule="exact"/>
              <w:ind w:firstLine="420"/>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1、技术支持情况须予以详细说明，包括人员详细情况、技术支持能力、各种资质、许可证等。</w:t>
            </w:r>
          </w:p>
          <w:p w14:paraId="5B31166F">
            <w:pPr>
              <w:tabs>
                <w:tab w:val="left" w:pos="5355"/>
              </w:tabs>
              <w:spacing w:line="400" w:lineRule="exact"/>
              <w:ind w:firstLine="420"/>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2、售后服务具体内容由投标人自行填写，投标人根据招标文件对售后服务要求，结合自身实际情况进行承诺，要求尽量细化。</w:t>
            </w:r>
          </w:p>
          <w:p w14:paraId="278EACC3">
            <w:p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3、技术支持等相关证明材料。</w:t>
            </w:r>
          </w:p>
          <w:p w14:paraId="58F06FD6">
            <w:pPr>
              <w:tabs>
                <w:tab w:val="left" w:pos="5355"/>
              </w:tabs>
              <w:spacing w:line="400" w:lineRule="exact"/>
              <w:ind w:firstLine="420"/>
              <w:rPr>
                <w:rFonts w:hint="eastAsia" w:asciiTheme="minorEastAsia" w:hAnsiTheme="minorEastAsia" w:eastAsiaTheme="minorEastAsia" w:cstheme="minorEastAsia"/>
                <w:color w:val="auto"/>
                <w:sz w:val="24"/>
                <w:szCs w:val="24"/>
                <w:highlight w:val="none"/>
              </w:rPr>
            </w:pPr>
          </w:p>
        </w:tc>
      </w:tr>
    </w:tbl>
    <w:p w14:paraId="7A53D9BD">
      <w:pPr>
        <w:spacing w:line="400" w:lineRule="exact"/>
        <w:jc w:val="center"/>
        <w:rPr>
          <w:rFonts w:hint="eastAsia" w:asciiTheme="minorEastAsia" w:hAnsiTheme="minorEastAsia" w:eastAsiaTheme="minorEastAsia" w:cstheme="minorEastAsia"/>
          <w:b/>
          <w:color w:val="auto"/>
          <w:sz w:val="36"/>
          <w:highlight w:val="none"/>
        </w:rPr>
      </w:pPr>
    </w:p>
    <w:p w14:paraId="5877864F">
      <w:pPr>
        <w:spacing w:line="400" w:lineRule="exact"/>
        <w:jc w:val="center"/>
        <w:rPr>
          <w:rFonts w:hint="eastAsia" w:asciiTheme="minorEastAsia" w:hAnsiTheme="minorEastAsia" w:eastAsiaTheme="minorEastAsia" w:cstheme="minorEastAsia"/>
          <w:b/>
          <w:color w:val="auto"/>
          <w:sz w:val="36"/>
          <w:highlight w:val="none"/>
        </w:rPr>
      </w:pPr>
    </w:p>
    <w:p w14:paraId="734BBB01">
      <w:pPr>
        <w:spacing w:line="400" w:lineRule="exact"/>
        <w:jc w:val="center"/>
        <w:rPr>
          <w:rFonts w:hint="eastAsia" w:asciiTheme="minorEastAsia" w:hAnsiTheme="minorEastAsia" w:eastAsiaTheme="minorEastAsia" w:cstheme="minorEastAsia"/>
          <w:b/>
          <w:color w:val="auto"/>
          <w:sz w:val="36"/>
          <w:highlight w:val="none"/>
        </w:rPr>
      </w:pPr>
    </w:p>
    <w:p w14:paraId="2019F9F3">
      <w:pPr>
        <w:wordWrap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18DF8B7">
      <w:pPr>
        <w:wordWrap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4F603B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CD549D3">
      <w:pPr>
        <w:spacing w:line="400" w:lineRule="exact"/>
        <w:rPr>
          <w:rFonts w:hint="eastAsia" w:asciiTheme="minorEastAsia" w:hAnsiTheme="minorEastAsia" w:eastAsiaTheme="minorEastAsia" w:cstheme="minorEastAsia"/>
          <w:b/>
          <w:color w:val="auto"/>
          <w:sz w:val="24"/>
          <w:highlight w:val="none"/>
        </w:rPr>
      </w:pPr>
    </w:p>
    <w:p w14:paraId="571E20D4">
      <w:pPr>
        <w:spacing w:line="400" w:lineRule="exact"/>
        <w:jc w:val="center"/>
        <w:rPr>
          <w:rFonts w:hint="eastAsia" w:asciiTheme="minorEastAsia" w:hAnsiTheme="minorEastAsia" w:eastAsiaTheme="minorEastAsia" w:cstheme="minorEastAsia"/>
          <w:b/>
          <w:color w:val="auto"/>
          <w:sz w:val="36"/>
          <w:highlight w:val="none"/>
        </w:rPr>
      </w:pPr>
    </w:p>
    <w:p w14:paraId="0D3F0B0F">
      <w:pPr>
        <w:spacing w:line="400" w:lineRule="exact"/>
        <w:jc w:val="center"/>
        <w:rPr>
          <w:rFonts w:hint="eastAsia" w:asciiTheme="minorEastAsia" w:hAnsiTheme="minorEastAsia" w:eastAsiaTheme="minorEastAsia" w:cstheme="minorEastAsia"/>
          <w:b/>
          <w:color w:val="auto"/>
          <w:sz w:val="36"/>
          <w:highlight w:val="none"/>
        </w:rPr>
      </w:pPr>
    </w:p>
    <w:p w14:paraId="51AD921C">
      <w:pPr>
        <w:spacing w:line="400" w:lineRule="exact"/>
        <w:jc w:val="center"/>
        <w:rPr>
          <w:rFonts w:hint="eastAsia" w:asciiTheme="minorEastAsia" w:hAnsiTheme="minorEastAsia" w:eastAsiaTheme="minorEastAsia" w:cstheme="minorEastAsia"/>
          <w:b/>
          <w:color w:val="auto"/>
          <w:sz w:val="36"/>
          <w:highlight w:val="none"/>
        </w:rPr>
      </w:pPr>
    </w:p>
    <w:p w14:paraId="64DB67C7">
      <w:pPr>
        <w:spacing w:line="400" w:lineRule="exact"/>
        <w:jc w:val="center"/>
        <w:rPr>
          <w:rFonts w:hint="eastAsia" w:asciiTheme="minorEastAsia" w:hAnsiTheme="minorEastAsia" w:eastAsiaTheme="minorEastAsia" w:cstheme="minorEastAsia"/>
          <w:b/>
          <w:color w:val="auto"/>
          <w:sz w:val="36"/>
          <w:highlight w:val="none"/>
        </w:rPr>
      </w:pPr>
    </w:p>
    <w:p w14:paraId="08B36D6A">
      <w:pPr>
        <w:spacing w:line="400" w:lineRule="exact"/>
        <w:jc w:val="center"/>
        <w:rPr>
          <w:rFonts w:hint="eastAsia" w:asciiTheme="minorEastAsia" w:hAnsiTheme="minorEastAsia" w:eastAsiaTheme="minorEastAsia" w:cstheme="minorEastAsia"/>
          <w:b/>
          <w:color w:val="auto"/>
          <w:sz w:val="36"/>
          <w:highlight w:val="none"/>
        </w:rPr>
      </w:pPr>
    </w:p>
    <w:p w14:paraId="66144D8D">
      <w:pPr>
        <w:spacing w:line="400" w:lineRule="exact"/>
        <w:jc w:val="center"/>
        <w:rPr>
          <w:rFonts w:hint="eastAsia" w:asciiTheme="minorEastAsia" w:hAnsiTheme="minorEastAsia" w:eastAsiaTheme="minorEastAsia" w:cstheme="minorEastAsia"/>
          <w:b/>
          <w:color w:val="auto"/>
          <w:sz w:val="36"/>
          <w:highlight w:val="none"/>
        </w:rPr>
      </w:pPr>
    </w:p>
    <w:p w14:paraId="6DB61DB1">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37F8CCDB">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lang w:val="en-US" w:eastAsia="zh-CN"/>
        </w:rPr>
        <w:t>6、</w:t>
      </w:r>
      <w:r>
        <w:rPr>
          <w:rFonts w:hint="eastAsia" w:asciiTheme="minorEastAsia" w:hAnsiTheme="minorEastAsia" w:eastAsiaTheme="minorEastAsia" w:cstheme="minorEastAsia"/>
          <w:b/>
          <w:color w:val="auto"/>
          <w:sz w:val="36"/>
          <w:highlight w:val="none"/>
        </w:rPr>
        <w:t>投标人提交的其它资料</w:t>
      </w:r>
    </w:p>
    <w:p w14:paraId="4837374B">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6"/>
          <w:highlight w:val="none"/>
        </w:rPr>
        <w:t xml:space="preserve">  </w:t>
      </w:r>
      <w:r>
        <w:rPr>
          <w:rFonts w:hint="eastAsia" w:asciiTheme="minorEastAsia" w:hAnsiTheme="minorEastAsia" w:eastAsiaTheme="minorEastAsia" w:cstheme="minorEastAsia"/>
          <w:b/>
          <w:color w:val="auto"/>
          <w:szCs w:val="21"/>
          <w:highlight w:val="none"/>
        </w:rPr>
        <w:t xml:space="preserve"> </w:t>
      </w:r>
    </w:p>
    <w:p w14:paraId="3C91FD20">
      <w:pPr>
        <w:spacing w:line="4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投标人认为应提交的其他材料，(如硬件彩页等)均可在此附件中提交。</w:t>
      </w:r>
    </w:p>
    <w:p w14:paraId="0F4A839B">
      <w:pPr>
        <w:spacing w:line="400" w:lineRule="exact"/>
        <w:rPr>
          <w:rFonts w:hint="eastAsia" w:asciiTheme="minorEastAsia" w:hAnsiTheme="minorEastAsia" w:eastAsiaTheme="minorEastAsia" w:cstheme="minorEastAsia"/>
          <w:color w:val="auto"/>
          <w:sz w:val="24"/>
          <w:szCs w:val="24"/>
          <w:highlight w:val="none"/>
        </w:rPr>
      </w:pPr>
    </w:p>
    <w:p w14:paraId="428DDD70">
      <w:pPr>
        <w:spacing w:line="400" w:lineRule="exact"/>
        <w:rPr>
          <w:rFonts w:hint="eastAsia" w:asciiTheme="minorEastAsia" w:hAnsiTheme="minorEastAsia" w:eastAsiaTheme="minorEastAsia" w:cstheme="minorEastAsia"/>
          <w:color w:val="auto"/>
          <w:sz w:val="24"/>
          <w:szCs w:val="24"/>
          <w:highlight w:val="none"/>
        </w:rPr>
      </w:pPr>
    </w:p>
    <w:p w14:paraId="3DBAE000">
      <w:pPr>
        <w:spacing w:line="400" w:lineRule="exact"/>
        <w:rPr>
          <w:rFonts w:hint="eastAsia" w:asciiTheme="minorEastAsia" w:hAnsiTheme="minorEastAsia" w:eastAsiaTheme="minorEastAsia" w:cstheme="minorEastAsia"/>
          <w:color w:val="auto"/>
          <w:sz w:val="24"/>
          <w:szCs w:val="24"/>
          <w:highlight w:val="none"/>
        </w:rPr>
      </w:pPr>
    </w:p>
    <w:p w14:paraId="4A091407">
      <w:pPr>
        <w:spacing w:line="400" w:lineRule="exact"/>
        <w:rPr>
          <w:rFonts w:hint="eastAsia" w:asciiTheme="minorEastAsia" w:hAnsiTheme="minorEastAsia" w:eastAsiaTheme="minorEastAsia" w:cstheme="minorEastAsia"/>
          <w:color w:val="auto"/>
          <w:sz w:val="24"/>
          <w:szCs w:val="24"/>
          <w:highlight w:val="none"/>
        </w:rPr>
      </w:pPr>
    </w:p>
    <w:p w14:paraId="6363E619">
      <w:pPr>
        <w:spacing w:line="400" w:lineRule="exact"/>
        <w:rPr>
          <w:rFonts w:hint="eastAsia" w:asciiTheme="minorEastAsia" w:hAnsiTheme="minorEastAsia" w:eastAsiaTheme="minorEastAsia" w:cstheme="minorEastAsia"/>
          <w:color w:val="auto"/>
          <w:sz w:val="24"/>
          <w:szCs w:val="24"/>
          <w:highlight w:val="none"/>
        </w:rPr>
      </w:pPr>
    </w:p>
    <w:p w14:paraId="542D3BB0">
      <w:pPr>
        <w:spacing w:line="400" w:lineRule="exact"/>
        <w:rPr>
          <w:rFonts w:hint="eastAsia" w:asciiTheme="minorEastAsia" w:hAnsiTheme="minorEastAsia" w:eastAsiaTheme="minorEastAsia" w:cstheme="minorEastAsia"/>
          <w:color w:val="auto"/>
          <w:sz w:val="24"/>
          <w:szCs w:val="24"/>
          <w:highlight w:val="none"/>
        </w:rPr>
      </w:pPr>
    </w:p>
    <w:p w14:paraId="6453070A">
      <w:pPr>
        <w:spacing w:line="400" w:lineRule="exact"/>
        <w:rPr>
          <w:rFonts w:hint="eastAsia" w:asciiTheme="minorEastAsia" w:hAnsiTheme="minorEastAsia" w:eastAsiaTheme="minorEastAsia" w:cstheme="minorEastAsia"/>
          <w:color w:val="auto"/>
          <w:sz w:val="24"/>
          <w:szCs w:val="24"/>
          <w:highlight w:val="none"/>
        </w:rPr>
      </w:pPr>
    </w:p>
    <w:p w14:paraId="3BE9D67B">
      <w:pPr>
        <w:spacing w:line="400" w:lineRule="exact"/>
        <w:rPr>
          <w:rFonts w:hint="eastAsia" w:asciiTheme="minorEastAsia" w:hAnsiTheme="minorEastAsia" w:eastAsiaTheme="minorEastAsia" w:cstheme="minorEastAsia"/>
          <w:color w:val="auto"/>
          <w:sz w:val="24"/>
          <w:szCs w:val="24"/>
          <w:highlight w:val="none"/>
        </w:rPr>
      </w:pPr>
    </w:p>
    <w:p w14:paraId="1DEF6AC6">
      <w:pPr>
        <w:spacing w:line="400" w:lineRule="exact"/>
        <w:rPr>
          <w:rFonts w:hint="eastAsia" w:asciiTheme="minorEastAsia" w:hAnsiTheme="minorEastAsia" w:eastAsiaTheme="minorEastAsia" w:cstheme="minorEastAsia"/>
          <w:color w:val="auto"/>
          <w:sz w:val="24"/>
          <w:szCs w:val="24"/>
          <w:highlight w:val="none"/>
        </w:rPr>
      </w:pPr>
    </w:p>
    <w:p w14:paraId="718AC9EC">
      <w:pPr>
        <w:spacing w:line="400" w:lineRule="exact"/>
        <w:rPr>
          <w:rFonts w:hint="eastAsia" w:asciiTheme="minorEastAsia" w:hAnsiTheme="minorEastAsia" w:eastAsiaTheme="minorEastAsia" w:cstheme="minorEastAsia"/>
          <w:color w:val="auto"/>
          <w:sz w:val="24"/>
          <w:szCs w:val="24"/>
          <w:highlight w:val="none"/>
        </w:rPr>
      </w:pPr>
    </w:p>
    <w:p w14:paraId="1ADAB00C">
      <w:pPr>
        <w:spacing w:line="400" w:lineRule="exact"/>
        <w:rPr>
          <w:rFonts w:hint="eastAsia" w:asciiTheme="minorEastAsia" w:hAnsiTheme="minorEastAsia" w:eastAsiaTheme="minorEastAsia" w:cstheme="minorEastAsia"/>
          <w:color w:val="auto"/>
          <w:sz w:val="24"/>
          <w:szCs w:val="24"/>
          <w:highlight w:val="none"/>
        </w:rPr>
      </w:pPr>
    </w:p>
    <w:p w14:paraId="030B2C7A">
      <w:pPr>
        <w:spacing w:line="400" w:lineRule="exact"/>
        <w:rPr>
          <w:rFonts w:hint="eastAsia" w:asciiTheme="minorEastAsia" w:hAnsiTheme="minorEastAsia" w:eastAsiaTheme="minorEastAsia" w:cstheme="minorEastAsia"/>
          <w:color w:val="auto"/>
          <w:sz w:val="24"/>
          <w:szCs w:val="24"/>
          <w:highlight w:val="none"/>
        </w:rPr>
      </w:pPr>
    </w:p>
    <w:p w14:paraId="048B7D52">
      <w:pPr>
        <w:spacing w:line="400" w:lineRule="exact"/>
        <w:rPr>
          <w:rFonts w:hint="eastAsia" w:asciiTheme="minorEastAsia" w:hAnsiTheme="minorEastAsia" w:eastAsiaTheme="minorEastAsia" w:cstheme="minorEastAsia"/>
          <w:color w:val="auto"/>
          <w:sz w:val="24"/>
          <w:szCs w:val="24"/>
          <w:highlight w:val="none"/>
        </w:rPr>
      </w:pPr>
    </w:p>
    <w:p w14:paraId="7630A8F0">
      <w:pPr>
        <w:spacing w:line="400" w:lineRule="exact"/>
        <w:rPr>
          <w:rFonts w:hint="eastAsia" w:asciiTheme="minorEastAsia" w:hAnsiTheme="minorEastAsia" w:eastAsiaTheme="minorEastAsia" w:cstheme="minorEastAsia"/>
          <w:color w:val="auto"/>
          <w:sz w:val="24"/>
          <w:szCs w:val="24"/>
          <w:highlight w:val="none"/>
        </w:rPr>
      </w:pPr>
    </w:p>
    <w:p w14:paraId="75812F3E">
      <w:pPr>
        <w:spacing w:line="400" w:lineRule="exact"/>
        <w:rPr>
          <w:rFonts w:hint="eastAsia" w:asciiTheme="minorEastAsia" w:hAnsiTheme="minorEastAsia" w:eastAsiaTheme="minorEastAsia" w:cstheme="minorEastAsia"/>
          <w:color w:val="auto"/>
          <w:sz w:val="24"/>
          <w:szCs w:val="24"/>
          <w:highlight w:val="none"/>
        </w:rPr>
      </w:pPr>
    </w:p>
    <w:p w14:paraId="21D822BC">
      <w:pPr>
        <w:spacing w:line="400" w:lineRule="exact"/>
        <w:rPr>
          <w:rFonts w:hint="eastAsia" w:asciiTheme="minorEastAsia" w:hAnsiTheme="minorEastAsia" w:eastAsiaTheme="minorEastAsia" w:cstheme="minorEastAsia"/>
          <w:color w:val="auto"/>
          <w:sz w:val="24"/>
          <w:szCs w:val="24"/>
          <w:highlight w:val="none"/>
        </w:rPr>
      </w:pPr>
    </w:p>
    <w:p w14:paraId="7CAF2656">
      <w:pPr>
        <w:spacing w:line="400" w:lineRule="exact"/>
        <w:rPr>
          <w:rFonts w:hint="eastAsia" w:asciiTheme="minorEastAsia" w:hAnsiTheme="minorEastAsia" w:eastAsiaTheme="minorEastAsia" w:cstheme="minorEastAsia"/>
          <w:color w:val="auto"/>
          <w:sz w:val="24"/>
          <w:szCs w:val="24"/>
          <w:highlight w:val="none"/>
        </w:rPr>
      </w:pPr>
    </w:p>
    <w:p w14:paraId="15002240">
      <w:pPr>
        <w:spacing w:line="400" w:lineRule="exact"/>
        <w:rPr>
          <w:rFonts w:hint="eastAsia" w:asciiTheme="minorEastAsia" w:hAnsiTheme="minorEastAsia" w:eastAsiaTheme="minorEastAsia" w:cstheme="minorEastAsia"/>
          <w:color w:val="auto"/>
          <w:sz w:val="24"/>
          <w:szCs w:val="24"/>
          <w:highlight w:val="none"/>
        </w:rPr>
      </w:pPr>
    </w:p>
    <w:p w14:paraId="2A714C31">
      <w:pPr>
        <w:spacing w:line="400" w:lineRule="exact"/>
        <w:rPr>
          <w:rFonts w:hint="eastAsia" w:asciiTheme="minorEastAsia" w:hAnsiTheme="minorEastAsia" w:eastAsiaTheme="minorEastAsia" w:cstheme="minorEastAsia"/>
          <w:color w:val="auto"/>
          <w:sz w:val="24"/>
          <w:szCs w:val="24"/>
          <w:highlight w:val="none"/>
        </w:rPr>
      </w:pPr>
    </w:p>
    <w:p w14:paraId="68EF58C8">
      <w:pPr>
        <w:spacing w:line="400" w:lineRule="exact"/>
        <w:rPr>
          <w:rFonts w:hint="eastAsia" w:asciiTheme="minorEastAsia" w:hAnsiTheme="minorEastAsia" w:eastAsiaTheme="minorEastAsia" w:cstheme="minorEastAsia"/>
          <w:color w:val="auto"/>
          <w:sz w:val="24"/>
          <w:szCs w:val="24"/>
          <w:highlight w:val="none"/>
        </w:rPr>
      </w:pPr>
    </w:p>
    <w:p w14:paraId="1354D123">
      <w:pPr>
        <w:wordWrap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12D16528">
      <w:pPr>
        <w:wordWrap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9460AD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434D78F">
      <w:pPr>
        <w:pStyle w:val="47"/>
        <w:spacing w:line="400" w:lineRule="exact"/>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rPr>
        <w:br w:type="page"/>
      </w:r>
    </w:p>
    <w:p w14:paraId="01C69AB3">
      <w:pPr>
        <w:spacing w:line="4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36"/>
          <w:highlight w:val="none"/>
          <w:lang w:val="en-US" w:eastAsia="zh-CN"/>
        </w:rPr>
        <w:t>7、</w:t>
      </w:r>
      <w:r>
        <w:rPr>
          <w:rFonts w:hint="eastAsia" w:asciiTheme="minorEastAsia" w:hAnsiTheme="minorEastAsia" w:eastAsiaTheme="minorEastAsia" w:cstheme="minorEastAsia"/>
          <w:b/>
          <w:bCs/>
          <w:color w:val="auto"/>
          <w:sz w:val="36"/>
          <w:highlight w:val="none"/>
        </w:rPr>
        <w:t>投标人廉政承诺书</w:t>
      </w:r>
    </w:p>
    <w:p w14:paraId="585CAA44">
      <w:pPr>
        <w:spacing w:line="400" w:lineRule="exact"/>
        <w:rPr>
          <w:rFonts w:hint="eastAsia" w:asciiTheme="minorEastAsia" w:hAnsiTheme="minorEastAsia" w:eastAsiaTheme="minorEastAsia" w:cstheme="minorEastAsia"/>
          <w:b/>
          <w:bCs/>
          <w:color w:val="auto"/>
          <w:highlight w:val="none"/>
        </w:rPr>
      </w:pPr>
    </w:p>
    <w:p w14:paraId="59BC11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致:福建鼎御招标有限公司</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南平武夷文旅研究院有限公司</w:t>
      </w:r>
    </w:p>
    <w:p w14:paraId="0DDA1827">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176B6727">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CBD252E">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为加强采购活动中的廉政建设，防止发生商业贿赂等违法违纪行为，保护国家、集体和当事人的合法权益，特向贵单位承诺如下事项</w:t>
      </w:r>
      <w:r>
        <w:rPr>
          <w:rFonts w:hint="eastAsia" w:asciiTheme="minorEastAsia" w:hAnsiTheme="minorEastAsia" w:eastAsiaTheme="minorEastAsia" w:cstheme="minorEastAsia"/>
          <w:color w:val="auto"/>
          <w:sz w:val="24"/>
          <w:szCs w:val="24"/>
          <w:highlight w:val="none"/>
          <w:lang w:eastAsia="zh-CN"/>
        </w:rPr>
        <w:t>:</w:t>
      </w:r>
    </w:p>
    <w:p w14:paraId="25695142">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一、参与采购活动时，除具备采购文件规定的资格、资质要求外，我方还将严格遵守有关法律、法规、政策以及国家、地方关于廉政建设的各项规定。</w:t>
      </w:r>
    </w:p>
    <w:p w14:paraId="350A05D1">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二、遵循公开、公平、公正、诚实信用原则组织采购活动，不发生损害上述原则及各方当事人合法权益的不正当竞争行为。</w:t>
      </w:r>
    </w:p>
    <w:p w14:paraId="0DC7F941">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三、与采购各方当事人保持正常的业务交往，不向招标人、采购代理机构、监督机构、评审专家、工作人员及其他参与采购活动的人员提供不正当利益。主要有</w:t>
      </w:r>
      <w:r>
        <w:rPr>
          <w:rFonts w:hint="eastAsia" w:asciiTheme="minorEastAsia" w:hAnsiTheme="minorEastAsia" w:eastAsiaTheme="minorEastAsia" w:cstheme="minorEastAsia"/>
          <w:color w:val="auto"/>
          <w:sz w:val="24"/>
          <w:szCs w:val="24"/>
          <w:highlight w:val="none"/>
          <w:lang w:eastAsia="zh-CN"/>
        </w:rPr>
        <w:t>:</w:t>
      </w:r>
    </w:p>
    <w:p w14:paraId="04E1E9C8">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1、不向上述人员赠送礼金、有价证券、贵重物品及回扣、好处费、感谢费等。</w:t>
      </w:r>
    </w:p>
    <w:p w14:paraId="78818CF6">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2、不为上述人员或单位报销应由对方支付的费用。</w:t>
      </w:r>
    </w:p>
    <w:p w14:paraId="1ECC647E">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3、不为上述人员装修住房、婚丧嫁娶、配偶子女的工作安排以及出国(境)、旅游等提供方便。</w:t>
      </w:r>
    </w:p>
    <w:p w14:paraId="12222687">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4、不为上述人员或单位提供可能影响采购活动的宴请、健身、娱乐等活动。</w:t>
      </w:r>
    </w:p>
    <w:p w14:paraId="48953B45">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四、严格执行采购合同，自觉按合同办事。在合同执行过程中，不发生本承诺书第三条中所列不良行为。</w:t>
      </w:r>
    </w:p>
    <w:p w14:paraId="741A3BA3">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五、发现采购活动各方当事人有违规、违纪、违法行为的，及时提醒对方，情节严重的，主动向其主管部门或纪检监察、司法等机关举报。</w:t>
      </w:r>
    </w:p>
    <w:p w14:paraId="6F04E932">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六、自觉接受采购管理部门的监管。在采购活动中出现违反本承诺书规定行为的，自觉接受采购管理部门的处罚，因违法违规行为给其他当事人造成经济损失的，按规定予以赔偿。</w:t>
      </w:r>
    </w:p>
    <w:p w14:paraId="4743DB3C">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七、我方自愿将本承诺书作为招标文件的必备要件。在投标时，由我方法定代表人或其委托代理人签署，并随投标文件一并提交，否则可视为未实质响应招标文件，自愿接受由此造成的一切后果和损失。</w:t>
      </w:r>
    </w:p>
    <w:p w14:paraId="1B0DCD7E">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八、本承诺书自签署之日起生效。</w:t>
      </w:r>
    </w:p>
    <w:p w14:paraId="6DEB7306">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70006223">
      <w:pPr>
        <w:pStyle w:val="1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46974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月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FB23CB2">
      <w:pPr>
        <w:spacing w:line="400" w:lineRule="exact"/>
        <w:jc w:val="center"/>
        <w:rPr>
          <w:rFonts w:hint="eastAsia" w:asciiTheme="minorEastAsia" w:hAnsiTheme="minorEastAsia" w:eastAsiaTheme="minorEastAsia" w:cstheme="minorEastAsia"/>
          <w:b/>
          <w:bCs/>
          <w:color w:val="auto"/>
          <w:sz w:val="36"/>
          <w:highlight w:val="none"/>
        </w:rPr>
      </w:pPr>
    </w:p>
    <w:p w14:paraId="1AD7C818">
      <w:pPr>
        <w:spacing w:line="400" w:lineRule="exact"/>
        <w:jc w:val="center"/>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rPr>
        <w:br w:type="page"/>
      </w:r>
    </w:p>
    <w:p w14:paraId="0F7FD270">
      <w:pPr>
        <w:spacing w:line="400" w:lineRule="exact"/>
        <w:jc w:val="center"/>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
          <w:bCs/>
          <w:color w:val="auto"/>
          <w:sz w:val="36"/>
          <w:highlight w:val="none"/>
          <w:lang w:val="en-US" w:eastAsia="zh-CN"/>
        </w:rPr>
        <w:t>8、</w:t>
      </w:r>
      <w:r>
        <w:rPr>
          <w:rFonts w:hint="eastAsia" w:asciiTheme="minorEastAsia" w:hAnsiTheme="minorEastAsia" w:eastAsiaTheme="minorEastAsia" w:cstheme="minorEastAsia"/>
          <w:b/>
          <w:bCs/>
          <w:color w:val="auto"/>
          <w:sz w:val="36"/>
          <w:highlight w:val="none"/>
        </w:rPr>
        <w:t>招标</w:t>
      </w:r>
      <w:r>
        <w:rPr>
          <w:rFonts w:hint="eastAsia" w:asciiTheme="minorEastAsia" w:hAnsiTheme="minorEastAsia" w:eastAsiaTheme="minorEastAsia" w:cstheme="minorEastAsia"/>
          <w:b/>
          <w:bCs/>
          <w:color w:val="auto"/>
          <w:sz w:val="36"/>
          <w:highlight w:val="none"/>
          <w:lang w:val="en-US" w:eastAsia="zh-CN"/>
        </w:rPr>
        <w:t>代理</w:t>
      </w:r>
      <w:r>
        <w:rPr>
          <w:rFonts w:hint="eastAsia" w:asciiTheme="minorEastAsia" w:hAnsiTheme="minorEastAsia" w:eastAsiaTheme="minorEastAsia" w:cstheme="minorEastAsia"/>
          <w:b/>
          <w:bCs/>
          <w:color w:val="auto"/>
          <w:sz w:val="36"/>
          <w:highlight w:val="none"/>
        </w:rPr>
        <w:t>服务费承诺书</w:t>
      </w:r>
      <w:r>
        <w:rPr>
          <w:rFonts w:hint="eastAsia" w:asciiTheme="minorEastAsia" w:hAnsiTheme="minorEastAsia" w:eastAsiaTheme="minorEastAsia" w:cstheme="minorEastAsia"/>
          <w:color w:val="auto"/>
          <w:sz w:val="21"/>
          <w:highlight w:val="none"/>
        </w:rPr>
        <w:t xml:space="preserve">                                </w:t>
      </w:r>
    </w:p>
    <w:p w14:paraId="076272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lang w:eastAsia="zh-CN"/>
        </w:rPr>
        <w:t>:福建鼎御招标有限公司</w:t>
      </w:r>
      <w:r>
        <w:rPr>
          <w:rFonts w:hint="eastAsia" w:asciiTheme="minorEastAsia" w:hAnsiTheme="minorEastAsia" w:eastAsiaTheme="minorEastAsia" w:cstheme="minorEastAsia"/>
          <w:color w:val="auto"/>
          <w:sz w:val="24"/>
          <w:szCs w:val="24"/>
          <w:highlight w:val="none"/>
        </w:rPr>
        <w:t xml:space="preserve"> </w:t>
      </w:r>
    </w:p>
    <w:p w14:paraId="5179DD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我方在贵公司组织的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项目招标中投标(招标编号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)，如获中标，我方保证按招标文件的规定，以支票、汇票、电汇、现金或经贵公司认可的其他付款方式，向贵公司缴交招标</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服务费。</w:t>
      </w:r>
    </w:p>
    <w:p w14:paraId="4E99A9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我方如违反上述承诺，所提交的上述项目的投标保证金将不予退还我方，我方对此无异议。</w:t>
      </w:r>
    </w:p>
    <w:p w14:paraId="25A94C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7687FC8F">
      <w:pPr>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26E82F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2BA9B5D4">
      <w:pPr>
        <w:spacing w:line="400" w:lineRule="exact"/>
        <w:ind w:left="0" w:leftChars="0" w:firstLine="4620" w:firstLineChars="19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月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D12D039">
      <w:pPr>
        <w:spacing w:line="400" w:lineRule="exact"/>
        <w:jc w:val="center"/>
        <w:rPr>
          <w:rFonts w:hint="eastAsia" w:asciiTheme="minorEastAsia" w:hAnsiTheme="minorEastAsia" w:eastAsiaTheme="minorEastAsia" w:cstheme="minorEastAsia"/>
          <w:b/>
          <w:bCs/>
          <w:color w:val="auto"/>
          <w:sz w:val="36"/>
          <w:highlight w:val="none"/>
        </w:rPr>
      </w:pPr>
    </w:p>
    <w:p w14:paraId="055D2975">
      <w:pPr>
        <w:spacing w:line="400" w:lineRule="exact"/>
        <w:jc w:val="center"/>
        <w:rPr>
          <w:rFonts w:hint="eastAsia" w:asciiTheme="minorEastAsia" w:hAnsiTheme="minorEastAsia" w:eastAsiaTheme="minorEastAsia" w:cstheme="minorEastAsia"/>
          <w:b/>
          <w:bCs/>
          <w:color w:val="auto"/>
          <w:sz w:val="36"/>
          <w:highlight w:val="none"/>
        </w:rPr>
      </w:pPr>
    </w:p>
    <w:p w14:paraId="7D638AE0">
      <w:pPr>
        <w:spacing w:line="400" w:lineRule="exact"/>
        <w:jc w:val="center"/>
        <w:rPr>
          <w:rFonts w:hint="eastAsia" w:asciiTheme="minorEastAsia" w:hAnsiTheme="minorEastAsia" w:eastAsiaTheme="minorEastAsia" w:cstheme="minorEastAsia"/>
          <w:b/>
          <w:bCs/>
          <w:color w:val="auto"/>
          <w:sz w:val="36"/>
          <w:highlight w:val="none"/>
        </w:rPr>
      </w:pPr>
    </w:p>
    <w:p w14:paraId="1F328B87">
      <w:pPr>
        <w:spacing w:line="400" w:lineRule="exact"/>
        <w:jc w:val="center"/>
        <w:rPr>
          <w:rFonts w:hint="eastAsia" w:asciiTheme="minorEastAsia" w:hAnsiTheme="minorEastAsia" w:eastAsiaTheme="minorEastAsia" w:cstheme="minorEastAsia"/>
          <w:b/>
          <w:bCs/>
          <w:color w:val="auto"/>
          <w:sz w:val="36"/>
          <w:highlight w:val="none"/>
        </w:rPr>
      </w:pPr>
    </w:p>
    <w:p w14:paraId="20B5C145">
      <w:pPr>
        <w:spacing w:line="400" w:lineRule="exact"/>
        <w:jc w:val="center"/>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
          <w:bCs/>
          <w:color w:val="auto"/>
          <w:sz w:val="36"/>
          <w:highlight w:val="none"/>
        </w:rPr>
        <w:br w:type="page"/>
      </w:r>
    </w:p>
    <w:p w14:paraId="66D890DD">
      <w:pPr>
        <w:spacing w:line="400" w:lineRule="exact"/>
        <w:jc w:val="center"/>
        <w:rPr>
          <w:rFonts w:hint="eastAsia" w:asciiTheme="minorEastAsia" w:hAnsiTheme="minorEastAsia" w:eastAsiaTheme="minorEastAsia" w:cstheme="minorEastAsia"/>
          <w:b/>
          <w:bCs/>
          <w:color w:val="auto"/>
          <w:sz w:val="36"/>
          <w:highlight w:val="none"/>
        </w:rPr>
      </w:pPr>
    </w:p>
    <w:p w14:paraId="228BB822">
      <w:pPr>
        <w:spacing w:line="360" w:lineRule="auto"/>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货物和服务项目</w:t>
      </w:r>
    </w:p>
    <w:p w14:paraId="1EC63AA1">
      <w:pPr>
        <w:pStyle w:val="15"/>
        <w:spacing w:line="360" w:lineRule="auto"/>
        <w:ind w:firstLine="0"/>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投 标 文 件</w:t>
      </w:r>
    </w:p>
    <w:p w14:paraId="46BFFB8B">
      <w:pPr>
        <w:pStyle w:val="15"/>
        <w:spacing w:line="360" w:lineRule="auto"/>
        <w:ind w:firstLine="0"/>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第三册 报价部分</w:t>
      </w:r>
    </w:p>
    <w:p w14:paraId="191EB931">
      <w:pPr>
        <w:pStyle w:val="15"/>
        <w:ind w:firstLine="0"/>
        <w:jc w:val="center"/>
        <w:rPr>
          <w:rFonts w:hint="eastAsia" w:asciiTheme="minorEastAsia" w:hAnsiTheme="minorEastAsia" w:eastAsiaTheme="minorEastAsia" w:cstheme="minorEastAsia"/>
          <w:color w:val="auto"/>
          <w:highlight w:val="none"/>
        </w:rPr>
      </w:pPr>
    </w:p>
    <w:p w14:paraId="357976E8">
      <w:pPr>
        <w:pStyle w:val="15"/>
        <w:ind w:firstLine="0"/>
        <w:jc w:val="center"/>
        <w:rPr>
          <w:rFonts w:hint="eastAsia" w:asciiTheme="minorEastAsia" w:hAnsiTheme="minorEastAsia" w:eastAsiaTheme="minorEastAsia" w:cstheme="minorEastAsia"/>
          <w:color w:val="auto"/>
          <w:highlight w:val="none"/>
        </w:rPr>
      </w:pPr>
    </w:p>
    <w:p w14:paraId="66BCEA13">
      <w:pPr>
        <w:pStyle w:val="17"/>
        <w:spacing w:line="700" w:lineRule="exac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招标编号</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single"/>
        </w:rPr>
        <w:t xml:space="preserve">       </w:t>
      </w:r>
    </w:p>
    <w:p w14:paraId="44FD7E46">
      <w:pPr>
        <w:ind w:firstLine="1435" w:firstLineChars="397"/>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p>
    <w:p w14:paraId="7D7309F6">
      <w:pPr>
        <w:pStyle w:val="17"/>
        <w:spacing w:line="0" w:lineRule="atLeas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合同包</w:t>
      </w:r>
      <w:r>
        <w:rPr>
          <w:rFonts w:hint="eastAsia" w:asciiTheme="minorEastAsia" w:hAnsiTheme="minorEastAsia" w:eastAsiaTheme="minorEastAsia" w:cstheme="minorEastAsia"/>
          <w:b/>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p>
    <w:p w14:paraId="7723FDA6">
      <w:pPr>
        <w:pStyle w:val="17"/>
        <w:spacing w:line="0" w:lineRule="atLeast"/>
        <w:jc w:val="center"/>
        <w:rPr>
          <w:rFonts w:hint="eastAsia" w:asciiTheme="minorEastAsia" w:hAnsiTheme="minorEastAsia" w:eastAsiaTheme="minorEastAsia" w:cstheme="minorEastAsia"/>
          <w:b/>
          <w:color w:val="auto"/>
          <w:sz w:val="36"/>
          <w:szCs w:val="36"/>
          <w:highlight w:val="none"/>
        </w:rPr>
      </w:pPr>
    </w:p>
    <w:p w14:paraId="075DBB49">
      <w:pPr>
        <w:pStyle w:val="17"/>
        <w:spacing w:line="0" w:lineRule="atLeast"/>
        <w:jc w:val="center"/>
        <w:rPr>
          <w:rFonts w:hint="eastAsia" w:asciiTheme="minorEastAsia" w:hAnsiTheme="minorEastAsia" w:eastAsiaTheme="minorEastAsia" w:cstheme="minorEastAsia"/>
          <w:b/>
          <w:color w:val="auto"/>
          <w:sz w:val="36"/>
          <w:szCs w:val="36"/>
          <w:highlight w:val="none"/>
        </w:rPr>
      </w:pPr>
    </w:p>
    <w:p w14:paraId="253A06E5">
      <w:pPr>
        <w:pStyle w:val="17"/>
        <w:spacing w:line="0" w:lineRule="atLeast"/>
        <w:jc w:val="center"/>
        <w:rPr>
          <w:rFonts w:hint="eastAsia" w:asciiTheme="minorEastAsia" w:hAnsiTheme="minorEastAsia" w:eastAsiaTheme="minorEastAsia" w:cstheme="minorEastAsia"/>
          <w:b/>
          <w:color w:val="auto"/>
          <w:sz w:val="36"/>
          <w:szCs w:val="36"/>
          <w:highlight w:val="none"/>
        </w:rPr>
      </w:pPr>
    </w:p>
    <w:p w14:paraId="7EB455F6">
      <w:pPr>
        <w:pStyle w:val="17"/>
        <w:tabs>
          <w:tab w:val="left" w:pos="1620"/>
        </w:tabs>
        <w:spacing w:line="700" w:lineRule="exact"/>
        <w:ind w:firstLine="1397" w:firstLineChars="348"/>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pacing w:val="20"/>
          <w:sz w:val="36"/>
          <w:szCs w:val="36"/>
          <w:highlight w:val="none"/>
        </w:rPr>
        <w:t>投标人名称(并</w:t>
      </w:r>
      <w:r>
        <w:rPr>
          <w:rFonts w:hint="eastAsia" w:asciiTheme="minorEastAsia" w:hAnsiTheme="minorEastAsia" w:eastAsiaTheme="minorEastAsia" w:cstheme="minorEastAsia"/>
          <w:b/>
          <w:color w:val="auto"/>
          <w:spacing w:val="20"/>
          <w:sz w:val="36"/>
          <w:szCs w:val="36"/>
          <w:highlight w:val="none"/>
          <w:lang w:eastAsia="zh-CN"/>
        </w:rPr>
        <w:t>加</w:t>
      </w:r>
      <w:r>
        <w:rPr>
          <w:rFonts w:hint="eastAsia" w:asciiTheme="minorEastAsia" w:hAnsiTheme="minorEastAsia" w:eastAsiaTheme="minorEastAsia" w:cstheme="minorEastAsia"/>
          <w:b/>
          <w:color w:val="auto"/>
          <w:spacing w:val="20"/>
          <w:sz w:val="36"/>
          <w:szCs w:val="36"/>
          <w:highlight w:val="none"/>
        </w:rPr>
        <w:t>盖公章)</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7BE18909">
      <w:pPr>
        <w:pStyle w:val="17"/>
        <w:tabs>
          <w:tab w:val="left" w:pos="1620"/>
        </w:tabs>
        <w:spacing w:line="700" w:lineRule="exact"/>
        <w:ind w:firstLine="1428" w:firstLineChars="395"/>
        <w:rPr>
          <w:rFonts w:hint="eastAsia"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日 期</w:t>
      </w:r>
      <w:r>
        <w:rPr>
          <w:rFonts w:hint="eastAsia" w:asciiTheme="minorEastAsia" w:hAnsiTheme="minorEastAsia" w:eastAsiaTheme="minorEastAsia" w:cstheme="minorEastAsia"/>
          <w:b/>
          <w:color w:val="auto"/>
          <w:sz w:val="36"/>
          <w:szCs w:val="36"/>
          <w:highlight w:val="none"/>
          <w:lang w:eastAsia="zh-CN"/>
        </w:rPr>
        <w:t>:</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年</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月</w:t>
      </w:r>
      <w:r>
        <w:rPr>
          <w:rFonts w:hint="eastAsia" w:asciiTheme="minorEastAsia" w:hAnsiTheme="minorEastAsia" w:eastAsiaTheme="minorEastAsia" w:cstheme="minorEastAsia"/>
          <w:b/>
          <w:color w:val="auto"/>
          <w:sz w:val="36"/>
          <w:szCs w:val="36"/>
          <w:highlight w:val="none"/>
          <w:u w:val="single"/>
        </w:rPr>
        <w:t xml:space="preserve">    </w:t>
      </w:r>
      <w:r>
        <w:rPr>
          <w:rFonts w:hint="eastAsia" w:asciiTheme="minorEastAsia" w:hAnsiTheme="minorEastAsia" w:eastAsiaTheme="minorEastAsia" w:cstheme="minorEastAsia"/>
          <w:b/>
          <w:color w:val="auto"/>
          <w:sz w:val="36"/>
          <w:szCs w:val="36"/>
          <w:highlight w:val="none"/>
          <w:u w:val="none"/>
        </w:rPr>
        <w:t>日</w:t>
      </w:r>
    </w:p>
    <w:p w14:paraId="78128296">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联系电话</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3E23A634">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授权代表人</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p>
    <w:p w14:paraId="5565DBB5">
      <w:pPr>
        <w:pStyle w:val="17"/>
        <w:tabs>
          <w:tab w:val="left" w:pos="1620"/>
        </w:tabs>
        <w:spacing w:line="700" w:lineRule="exact"/>
        <w:ind w:firstLine="1438" w:firstLineChars="39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联系地址</w:t>
      </w:r>
      <w:r>
        <w:rPr>
          <w:rFonts w:hint="eastAsia" w:asciiTheme="minorEastAsia" w:hAnsiTheme="minorEastAsia" w:eastAsiaTheme="minorEastAsia" w:cstheme="minorEastAsia"/>
          <w:b/>
          <w:bCs/>
          <w:color w:val="auto"/>
          <w:sz w:val="36"/>
          <w:szCs w:val="36"/>
          <w:highlight w:val="none"/>
          <w:lang w:eastAsia="zh-CN"/>
        </w:rPr>
        <w:t>:</w:t>
      </w:r>
      <w:r>
        <w:rPr>
          <w:rFonts w:hint="eastAsia" w:asciiTheme="minorEastAsia" w:hAnsiTheme="minorEastAsia" w:eastAsiaTheme="minorEastAsia" w:cstheme="minorEastAsia"/>
          <w:b/>
          <w:bCs/>
          <w:color w:val="auto"/>
          <w:sz w:val="36"/>
          <w:szCs w:val="36"/>
          <w:highlight w:val="none"/>
          <w:u w:val="single"/>
        </w:rPr>
        <w:t xml:space="preserve">                 </w:t>
      </w:r>
      <w:r>
        <w:rPr>
          <w:rFonts w:hint="eastAsia" w:asciiTheme="minorEastAsia" w:hAnsiTheme="minorEastAsia" w:eastAsiaTheme="minorEastAsia" w:cstheme="minorEastAsia"/>
          <w:b/>
          <w:bCs/>
          <w:color w:val="auto"/>
          <w:sz w:val="36"/>
          <w:szCs w:val="36"/>
          <w:highlight w:val="none"/>
        </w:rPr>
        <w:t xml:space="preserve">   </w:t>
      </w:r>
    </w:p>
    <w:p w14:paraId="12E4B549">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p>
    <w:p w14:paraId="23CDD84F">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p>
    <w:p w14:paraId="38C25330">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p>
    <w:p w14:paraId="7B4D1438">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p>
    <w:p w14:paraId="121C9F0F">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报价部分格式</w:t>
      </w:r>
    </w:p>
    <w:p w14:paraId="065379AC">
      <w:pPr>
        <w:pStyle w:val="7"/>
        <w:snapToGrid w:val="0"/>
        <w:spacing w:line="420" w:lineRule="atLeast"/>
        <w:ind w:left="-2" w:leftChars="-1" w:firstLine="0" w:firstLineChars="0"/>
        <w:jc w:val="center"/>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bCs/>
          <w:color w:val="auto"/>
          <w:sz w:val="36"/>
          <w:szCs w:val="36"/>
          <w:highlight w:val="none"/>
        </w:rPr>
        <w:t>目    录</w:t>
      </w:r>
    </w:p>
    <w:p w14:paraId="1A871D5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投标书</w:t>
      </w:r>
    </w:p>
    <w:p w14:paraId="638031B6">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开标一览表</w:t>
      </w:r>
    </w:p>
    <w:p w14:paraId="3AE51E8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投标分项报价表</w:t>
      </w:r>
    </w:p>
    <w:p w14:paraId="0D45C47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退还投标保证金函</w:t>
      </w:r>
    </w:p>
    <w:p w14:paraId="17C65325">
      <w:pPr>
        <w:pStyle w:val="49"/>
        <w:spacing w:line="400" w:lineRule="exact"/>
        <w:jc w:val="center"/>
        <w:outlineLvl w:val="9"/>
        <w:rPr>
          <w:rFonts w:hint="eastAsia" w:asciiTheme="minorEastAsia" w:hAnsiTheme="minorEastAsia" w:eastAsiaTheme="minorEastAsia" w:cstheme="minorEastAsia"/>
          <w:b/>
          <w:color w:val="auto"/>
          <w:sz w:val="36"/>
          <w:highlight w:val="none"/>
        </w:rPr>
      </w:pPr>
    </w:p>
    <w:p w14:paraId="4CA8FF0F">
      <w:pPr>
        <w:pStyle w:val="49"/>
        <w:spacing w:line="400" w:lineRule="exact"/>
        <w:jc w:val="center"/>
        <w:outlineLvl w:val="9"/>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32AD3594">
      <w:pPr>
        <w:pStyle w:val="49"/>
        <w:spacing w:line="400" w:lineRule="exact"/>
        <w:jc w:val="center"/>
        <w:outlineLvl w:val="9"/>
        <w:rPr>
          <w:rFonts w:hint="eastAsia" w:asciiTheme="minorEastAsia" w:hAnsiTheme="minorEastAsia" w:eastAsiaTheme="minorEastAsia" w:cstheme="minorEastAsia"/>
          <w:b/>
          <w:color w:val="auto"/>
          <w:sz w:val="36"/>
          <w:highlight w:val="none"/>
        </w:rPr>
      </w:pPr>
      <w:bookmarkStart w:id="27" w:name="_Toc9545"/>
      <w:r>
        <w:rPr>
          <w:rFonts w:hint="eastAsia" w:asciiTheme="minorEastAsia" w:hAnsiTheme="minorEastAsia" w:eastAsiaTheme="minorEastAsia" w:cstheme="minorEastAsia"/>
          <w:b/>
          <w:color w:val="auto"/>
          <w:sz w:val="36"/>
          <w:highlight w:val="none"/>
          <w:lang w:val="en-US" w:eastAsia="zh-CN"/>
        </w:rPr>
        <w:t>1、</w:t>
      </w:r>
      <w:r>
        <w:rPr>
          <w:rFonts w:hint="eastAsia" w:asciiTheme="minorEastAsia" w:hAnsiTheme="minorEastAsia" w:eastAsiaTheme="minorEastAsia" w:cstheme="minorEastAsia"/>
          <w:b/>
          <w:color w:val="auto"/>
          <w:sz w:val="36"/>
          <w:highlight w:val="none"/>
        </w:rPr>
        <w:t>投 标 书</w:t>
      </w:r>
      <w:bookmarkEnd w:id="27"/>
    </w:p>
    <w:p w14:paraId="7B684E42">
      <w:pPr>
        <w:keepNext w:val="0"/>
        <w:keepLines w:val="0"/>
        <w:pageBreakBefore w:val="0"/>
        <w:widowControl w:val="0"/>
        <w:tabs>
          <w:tab w:val="left" w:pos="59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lang w:eastAsia="zh-CN"/>
        </w:rPr>
        <w:t>:福建鼎御招标有限公司</w:t>
      </w:r>
    </w:p>
    <w:p w14:paraId="593C4C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根据贵方为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项目的投标邀请(招标编号)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，本签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代表</w:t>
      </w:r>
      <w:r>
        <w:rPr>
          <w:rFonts w:hint="eastAsia" w:asciiTheme="minorEastAsia" w:hAnsiTheme="minorEastAsia" w:eastAsiaTheme="minorEastAsia" w:cstheme="minorEastAsia"/>
          <w:color w:val="auto"/>
          <w:sz w:val="24"/>
          <w:szCs w:val="24"/>
          <w:highlight w:val="none"/>
          <w:u w:val="single"/>
        </w:rPr>
        <w:t>(全名、职务)</w:t>
      </w:r>
      <w:r>
        <w:rPr>
          <w:rFonts w:hint="eastAsia" w:asciiTheme="minorEastAsia" w:hAnsiTheme="minorEastAsia" w:eastAsiaTheme="minorEastAsia" w:cstheme="minorEastAsia"/>
          <w:color w:val="auto"/>
          <w:sz w:val="24"/>
          <w:szCs w:val="24"/>
          <w:highlight w:val="none"/>
        </w:rPr>
        <w:t>正式被授权并代表投标人</w:t>
      </w:r>
      <w:r>
        <w:rPr>
          <w:rFonts w:hint="eastAsia" w:asciiTheme="minorEastAsia" w:hAnsiTheme="minorEastAsia" w:eastAsiaTheme="minorEastAsia" w:cstheme="minorEastAsia"/>
          <w:color w:val="auto"/>
          <w:sz w:val="24"/>
          <w:szCs w:val="24"/>
          <w:highlight w:val="none"/>
          <w:u w:val="single"/>
        </w:rPr>
        <w:t>(投标人名称、地址)</w:t>
      </w:r>
      <w:r>
        <w:rPr>
          <w:rFonts w:hint="eastAsia" w:asciiTheme="minorEastAsia" w:hAnsiTheme="minorEastAsia" w:eastAsiaTheme="minorEastAsia" w:cstheme="minorEastAsia"/>
          <w:color w:val="auto"/>
          <w:sz w:val="24"/>
          <w:szCs w:val="24"/>
          <w:highlight w:val="none"/>
        </w:rPr>
        <w:t>提交下述文件正本一份和副本五份。</w:t>
      </w:r>
    </w:p>
    <w:p w14:paraId="772C10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(一)第一册  资格及资信证明部分</w:t>
      </w:r>
    </w:p>
    <w:p w14:paraId="49857B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关于资格的声明函</w:t>
      </w:r>
    </w:p>
    <w:p w14:paraId="73B6A9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投标人的资格声明一</w:t>
      </w:r>
    </w:p>
    <w:p w14:paraId="3A093A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投标人的资格声明一的证明材料</w:t>
      </w:r>
    </w:p>
    <w:p w14:paraId="44AF6C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投标人的资格声明二</w:t>
      </w:r>
    </w:p>
    <w:p w14:paraId="004AF7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法定代表人授权书</w:t>
      </w:r>
    </w:p>
    <w:p w14:paraId="43D9A8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营业执照等证明文件</w:t>
      </w:r>
    </w:p>
    <w:p w14:paraId="13A76E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投标保证金复印件</w:t>
      </w:r>
    </w:p>
    <w:p w14:paraId="54D0B1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投标人提供的其它资格证明文件(若有)</w:t>
      </w:r>
    </w:p>
    <w:p w14:paraId="705449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(二)第二册技术商务部分</w:t>
      </w:r>
    </w:p>
    <w:p w14:paraId="573CC15F">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技术商务部分评标内容对应表</w:t>
      </w:r>
    </w:p>
    <w:p w14:paraId="60717498">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(1)货物说明一览表</w:t>
      </w:r>
    </w:p>
    <w:p w14:paraId="61863536">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(2)供货范围清单</w:t>
      </w:r>
    </w:p>
    <w:p w14:paraId="08BFB342">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(3)技术和服务要求响应表</w:t>
      </w:r>
    </w:p>
    <w:p w14:paraId="49095C09">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(4)商务条件响应表</w:t>
      </w:r>
    </w:p>
    <w:p w14:paraId="21A93B52">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(5)质量保证与售后服务承诺</w:t>
      </w:r>
    </w:p>
    <w:p w14:paraId="77EF0371">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(6)投标人提交的其它资料</w:t>
      </w:r>
    </w:p>
    <w:p w14:paraId="6C618C1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)投标人廉政承诺书</w:t>
      </w:r>
    </w:p>
    <w:p w14:paraId="3B917FD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val="en-US" w:eastAsia="zh-CN"/>
        </w:rPr>
        <w:t>代理</w:t>
      </w:r>
      <w:r>
        <w:rPr>
          <w:rFonts w:hint="eastAsia" w:asciiTheme="minorEastAsia" w:hAnsiTheme="minorEastAsia" w:eastAsiaTheme="minorEastAsia" w:cstheme="minorEastAsia"/>
          <w:color w:val="auto"/>
          <w:sz w:val="24"/>
          <w:szCs w:val="24"/>
          <w:highlight w:val="none"/>
        </w:rPr>
        <w:t>服务费承诺书</w:t>
      </w:r>
    </w:p>
    <w:p w14:paraId="355BFA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(三)第三册  报价部分</w:t>
      </w:r>
    </w:p>
    <w:p w14:paraId="6D0243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(1)投标书</w:t>
      </w:r>
    </w:p>
    <w:p w14:paraId="4E2251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(2)开标一览表</w:t>
      </w:r>
    </w:p>
    <w:p w14:paraId="4B5A98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(3)投标分项报价表</w:t>
      </w:r>
    </w:p>
    <w:p w14:paraId="7D3DDC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(4)申请退还投标保证金函</w:t>
      </w:r>
    </w:p>
    <w:p w14:paraId="04C2738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方式提供的金额为人民币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元的投标保证金。</w:t>
      </w:r>
    </w:p>
    <w:p w14:paraId="20CFBE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据此函，签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rPr>
        <w:t>代表宣布同意如下</w:t>
      </w:r>
      <w:r>
        <w:rPr>
          <w:rFonts w:hint="eastAsia" w:asciiTheme="minorEastAsia" w:hAnsiTheme="minorEastAsia" w:eastAsiaTheme="minorEastAsia" w:cstheme="minorEastAsia"/>
          <w:color w:val="auto"/>
          <w:sz w:val="24"/>
          <w:szCs w:val="24"/>
          <w:highlight w:val="none"/>
          <w:lang w:eastAsia="zh-CN"/>
        </w:rPr>
        <w:t>:</w:t>
      </w:r>
    </w:p>
    <w:p w14:paraId="12C0A5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所附详细报价表中规定的应提供和交付的货物及服务报价总价(国内现场交货价)详见《开标一览表》。</w:t>
      </w:r>
    </w:p>
    <w:p w14:paraId="6C5738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投标人已详细审查全部招标文件，包括修改文件(如有的话)和有关附件，将自行承担因对全部招标文件理解不正确或误解而产生的相应后果。</w:t>
      </w:r>
    </w:p>
    <w:p w14:paraId="54C3CD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投标人保证遵守招标文件的全部规定，投标人所提交的材料中所含的信息均为真实、准确、完整，且不具有任何误导性。所提供的相关材料的复印件均与原件一致。</w:t>
      </w:r>
    </w:p>
    <w:p w14:paraId="322393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投标人将按招标文件的规定履行合同责任和义务。</w:t>
      </w:r>
    </w:p>
    <w:p w14:paraId="0F405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本投标文件自开标日起投标有效期为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投标截止期结束后</w:t>
      </w:r>
      <w:r>
        <w:rPr>
          <w:rFonts w:hint="eastAsia" w:asciiTheme="minorEastAsia" w:hAnsiTheme="minorEastAsia" w:eastAsiaTheme="minorEastAsia" w:cstheme="minorEastAsia"/>
          <w:color w:val="auto"/>
          <w:sz w:val="24"/>
          <w:szCs w:val="24"/>
          <w:highlight w:val="none"/>
          <w:u w:val="single"/>
        </w:rPr>
        <w:t xml:space="preserve"> 90 </w:t>
      </w:r>
      <w:r>
        <w:rPr>
          <w:rFonts w:hint="eastAsia" w:asciiTheme="minorEastAsia" w:hAnsiTheme="minorEastAsia" w:eastAsiaTheme="minorEastAsia" w:cstheme="minorEastAsia"/>
          <w:color w:val="auto"/>
          <w:sz w:val="24"/>
          <w:szCs w:val="24"/>
          <w:highlight w:val="none"/>
        </w:rPr>
        <w:t>日历日。</w:t>
      </w:r>
    </w:p>
    <w:p w14:paraId="28E2D9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如果发生招标文件第二章投标人须知第12条所述情况，则同意采购代理机构不予退还投标保证金。</w:t>
      </w:r>
    </w:p>
    <w:p w14:paraId="50F54A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投标人同意提供按照招标采购单位可能要求的与其投标有关的一切数据或资料，完全理解贵方不一定要接受最低的报价或收到的任何投标。</w:t>
      </w:r>
    </w:p>
    <w:p w14:paraId="7E6629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与本</w:t>
      </w:r>
      <w:r>
        <w:rPr>
          <w:rFonts w:hint="eastAsia" w:asciiTheme="minorEastAsia" w:hAnsiTheme="minorEastAsia" w:eastAsiaTheme="minorEastAsia" w:cstheme="minorEastAsia"/>
          <w:color w:val="auto"/>
          <w:sz w:val="24"/>
          <w:szCs w:val="24"/>
          <w:highlight w:val="none"/>
          <w:lang w:val="en-US" w:eastAsia="zh-CN"/>
        </w:rPr>
        <w:t>次</w:t>
      </w:r>
      <w:r>
        <w:rPr>
          <w:rFonts w:hint="eastAsia" w:asciiTheme="minorEastAsia" w:hAnsiTheme="minorEastAsia" w:eastAsiaTheme="minorEastAsia" w:cstheme="minorEastAsia"/>
          <w:color w:val="auto"/>
          <w:sz w:val="24"/>
          <w:szCs w:val="24"/>
          <w:highlight w:val="none"/>
        </w:rPr>
        <w:t>投标有关的一切正式往来通讯请寄</w:t>
      </w:r>
      <w:r>
        <w:rPr>
          <w:rFonts w:hint="eastAsia" w:asciiTheme="minorEastAsia" w:hAnsiTheme="minorEastAsia" w:eastAsiaTheme="minorEastAsia" w:cstheme="minorEastAsia"/>
          <w:color w:val="auto"/>
          <w:sz w:val="24"/>
          <w:szCs w:val="24"/>
          <w:highlight w:val="none"/>
          <w:lang w:eastAsia="zh-CN"/>
        </w:rPr>
        <w:t>:</w:t>
      </w:r>
    </w:p>
    <w:p w14:paraId="648C9F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地址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邮编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0EE2D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4A882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13497B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4E8F6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年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月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1CB14FF">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bookmarkStart w:id="28" w:name="_Toc20241"/>
    </w:p>
    <w:p w14:paraId="50424D62">
      <w:pPr>
        <w:spacing w:line="400" w:lineRule="exact"/>
        <w:jc w:val="center"/>
        <w:rPr>
          <w:rFonts w:hint="eastAsia" w:asciiTheme="minorEastAsia" w:hAnsiTheme="minorEastAsia" w:eastAsiaTheme="minorEastAsia" w:cstheme="minorEastAsia"/>
          <w:b/>
          <w:color w:val="auto"/>
          <w:sz w:val="36"/>
          <w:highlight w:val="none"/>
          <w:lang w:val="en-US" w:eastAsia="zh-CN"/>
        </w:rPr>
        <w:sectPr>
          <w:headerReference r:id="rId12" w:type="first"/>
          <w:footerReference r:id="rId14" w:type="first"/>
          <w:headerReference r:id="rId11" w:type="default"/>
          <w:footerReference r:id="rId13" w:type="default"/>
          <w:pgSz w:w="11907" w:h="16840"/>
          <w:pgMar w:top="1134" w:right="1134" w:bottom="1134" w:left="1134" w:header="680" w:footer="680" w:gutter="0"/>
          <w:pgNumType w:fmt="decimal"/>
          <w:cols w:space="720" w:num="1"/>
          <w:titlePg/>
          <w:docGrid w:type="lines" w:linePitch="312" w:charSpace="0"/>
        </w:sectPr>
      </w:pPr>
    </w:p>
    <w:bookmarkEnd w:id="28"/>
    <w:p w14:paraId="2E251242">
      <w:pPr>
        <w:spacing w:line="40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lang w:val="en-US" w:eastAsia="zh-CN"/>
        </w:rPr>
        <w:t>2、</w:t>
      </w:r>
      <w:r>
        <w:rPr>
          <w:rFonts w:hint="eastAsia" w:asciiTheme="minorEastAsia" w:hAnsiTheme="minorEastAsia" w:eastAsiaTheme="minorEastAsia" w:cstheme="minorEastAsia"/>
          <w:b/>
          <w:color w:val="auto"/>
          <w:sz w:val="36"/>
          <w:highlight w:val="none"/>
        </w:rPr>
        <w:t>开标一览表</w:t>
      </w:r>
    </w:p>
    <w:p w14:paraId="4CE304D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068BFD2D">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p w14:paraId="5664AECE">
      <w:pPr>
        <w:spacing w:line="400" w:lineRule="exact"/>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货币单位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元</w:t>
      </w:r>
    </w:p>
    <w:tbl>
      <w:tblPr>
        <w:tblStyle w:val="32"/>
        <w:tblW w:w="97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66"/>
        <w:gridCol w:w="589"/>
        <w:gridCol w:w="700"/>
        <w:gridCol w:w="1553"/>
        <w:gridCol w:w="1627"/>
        <w:gridCol w:w="1345"/>
        <w:gridCol w:w="1398"/>
      </w:tblGrid>
      <w:tr w14:paraId="363B7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22" w:type="dxa"/>
            <w:noWrap w:val="0"/>
            <w:vAlign w:val="center"/>
          </w:tcPr>
          <w:p w14:paraId="52FB4DC6">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66" w:type="dxa"/>
            <w:noWrap w:val="0"/>
            <w:vAlign w:val="center"/>
          </w:tcPr>
          <w:p w14:paraId="04CFCDBB">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9" w:type="dxa"/>
            <w:noWrap w:val="0"/>
            <w:vAlign w:val="center"/>
          </w:tcPr>
          <w:p w14:paraId="5B39E98E">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00" w:type="dxa"/>
            <w:noWrap w:val="0"/>
            <w:vAlign w:val="center"/>
          </w:tcPr>
          <w:p w14:paraId="4BA24F89">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553" w:type="dxa"/>
            <w:noWrap w:val="0"/>
            <w:vAlign w:val="center"/>
          </w:tcPr>
          <w:p w14:paraId="404106BA">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总报价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eastAsia="zh-CN"/>
              </w:rPr>
              <w:t>）</w:t>
            </w:r>
          </w:p>
        </w:tc>
        <w:tc>
          <w:tcPr>
            <w:tcW w:w="1627" w:type="dxa"/>
            <w:noWrap w:val="0"/>
            <w:vAlign w:val="center"/>
          </w:tcPr>
          <w:p w14:paraId="34A9776A">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交货</w:t>
            </w:r>
            <w:r>
              <w:rPr>
                <w:rFonts w:hint="eastAsia" w:ascii="宋体" w:hAnsi="宋体" w:eastAsia="宋体" w:cs="宋体"/>
                <w:b/>
                <w:bCs/>
                <w:sz w:val="24"/>
                <w:szCs w:val="24"/>
                <w:lang w:val="en-US" w:eastAsia="zh-CN"/>
              </w:rPr>
              <w:t>完工期</w:t>
            </w:r>
          </w:p>
        </w:tc>
        <w:tc>
          <w:tcPr>
            <w:tcW w:w="1345" w:type="dxa"/>
            <w:noWrap w:val="0"/>
            <w:vAlign w:val="center"/>
          </w:tcPr>
          <w:p w14:paraId="339BC183">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交货地点</w:t>
            </w:r>
          </w:p>
        </w:tc>
        <w:tc>
          <w:tcPr>
            <w:tcW w:w="1398" w:type="dxa"/>
            <w:noWrap w:val="0"/>
            <w:vAlign w:val="center"/>
          </w:tcPr>
          <w:p w14:paraId="3479B353">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B60B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22" w:type="dxa"/>
            <w:noWrap w:val="0"/>
            <w:vAlign w:val="center"/>
          </w:tcPr>
          <w:p w14:paraId="7F80F13B">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66" w:type="dxa"/>
            <w:noWrap w:val="0"/>
            <w:vAlign w:val="center"/>
          </w:tcPr>
          <w:p w14:paraId="606A0950">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南平市铁路旅游主题列车改造项目</w:t>
            </w:r>
          </w:p>
        </w:tc>
        <w:tc>
          <w:tcPr>
            <w:tcW w:w="589" w:type="dxa"/>
            <w:noWrap w:val="0"/>
            <w:vAlign w:val="center"/>
          </w:tcPr>
          <w:p w14:paraId="566D479A">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00" w:type="dxa"/>
            <w:noWrap w:val="0"/>
            <w:vAlign w:val="center"/>
          </w:tcPr>
          <w:p w14:paraId="70225C12">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项</w:t>
            </w:r>
          </w:p>
        </w:tc>
        <w:tc>
          <w:tcPr>
            <w:tcW w:w="1553" w:type="dxa"/>
            <w:noWrap w:val="0"/>
            <w:vAlign w:val="center"/>
          </w:tcPr>
          <w:p w14:paraId="6B9B32CC">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rPr>
            </w:pPr>
          </w:p>
        </w:tc>
        <w:tc>
          <w:tcPr>
            <w:tcW w:w="1627" w:type="dxa"/>
            <w:noWrap w:val="0"/>
            <w:vAlign w:val="center"/>
          </w:tcPr>
          <w:p w14:paraId="7E3B9569">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自合同签订之日起三个月内完成</w:t>
            </w:r>
          </w:p>
        </w:tc>
        <w:tc>
          <w:tcPr>
            <w:tcW w:w="1345" w:type="dxa"/>
            <w:noWrap w:val="0"/>
            <w:vAlign w:val="center"/>
          </w:tcPr>
          <w:p w14:paraId="765D494D">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default" w:ascii="宋体" w:hAnsi="宋体" w:eastAsia="宋体" w:cs="宋体"/>
                <w:sz w:val="24"/>
                <w:szCs w:val="24"/>
                <w:lang w:val="en-US" w:eastAsia="zh-CN"/>
              </w:rPr>
            </w:pPr>
          </w:p>
        </w:tc>
        <w:tc>
          <w:tcPr>
            <w:tcW w:w="1398" w:type="dxa"/>
            <w:noWrap w:val="0"/>
            <w:vAlign w:val="center"/>
          </w:tcPr>
          <w:p w14:paraId="4FB32473">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rPr>
            </w:pPr>
          </w:p>
        </w:tc>
      </w:tr>
      <w:tr w14:paraId="73F62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9700" w:type="dxa"/>
            <w:gridSpan w:val="8"/>
            <w:noWrap w:val="0"/>
            <w:vAlign w:val="center"/>
          </w:tcPr>
          <w:p w14:paraId="1AD8129D">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总价：（大写）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宋体"/>
                <w:sz w:val="24"/>
                <w:szCs w:val="24"/>
              </w:rPr>
              <w:t>￥：（小写）</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元</w:t>
            </w:r>
          </w:p>
        </w:tc>
      </w:tr>
    </w:tbl>
    <w:p w14:paraId="4B4450F3">
      <w:pPr>
        <w:pStyle w:val="100"/>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5F0D3DE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1、报价单位：人民币元，保留小数点后两位。含税（13%）。</w:t>
      </w:r>
    </w:p>
    <w:p w14:paraId="079625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2、分项报价表由投标人根据招标文件的要求自行设计，应包含所有费用。</w:t>
      </w:r>
    </w:p>
    <w:p w14:paraId="745A692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3、本分项报价表可自制，本表为参考样表，但最后的总价、折合单价、单位不可缺少。</w:t>
      </w:r>
    </w:p>
    <w:p w14:paraId="0B1F2A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4、一列共8辆客车，包括4辆舒适型座席车、1辆亲子车、1辆包厢车和2辆多功能车。</w:t>
      </w:r>
    </w:p>
    <w:p w14:paraId="239D033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5、以上报价不含监造服务费。</w:t>
      </w:r>
    </w:p>
    <w:p w14:paraId="7FA8953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p>
    <w:p w14:paraId="3E9FB7B0">
      <w:pPr>
        <w:pStyle w:val="26"/>
        <w:widowControl/>
        <w:spacing w:before="0" w:beforeAutospacing="0" w:after="0" w:afterAutospacing="0" w:line="3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3466ADE7">
      <w:pPr>
        <w:pStyle w:val="26"/>
        <w:widowControl/>
        <w:spacing w:before="0" w:beforeAutospacing="0" w:after="0" w:afterAutospacing="0" w:line="3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p>
    <w:p w14:paraId="1588EF3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D621A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5216B6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3EDA9821">
      <w:pPr>
        <w:spacing w:line="400" w:lineRule="exact"/>
        <w:rPr>
          <w:rFonts w:hint="eastAsia" w:asciiTheme="minorEastAsia" w:hAnsiTheme="minorEastAsia" w:eastAsiaTheme="minorEastAsia" w:cstheme="minorEastAsia"/>
          <w:color w:val="auto"/>
          <w:szCs w:val="21"/>
          <w:highlight w:val="none"/>
        </w:rPr>
      </w:pPr>
    </w:p>
    <w:p w14:paraId="74411710">
      <w:pPr>
        <w:spacing w:line="400" w:lineRule="exact"/>
        <w:ind w:firstLine="600"/>
        <w:rPr>
          <w:rFonts w:hint="eastAsia" w:asciiTheme="minorEastAsia" w:hAnsiTheme="minorEastAsia" w:eastAsiaTheme="minorEastAsia" w:cstheme="minorEastAsia"/>
          <w:b/>
          <w:color w:val="auto"/>
          <w:szCs w:val="21"/>
          <w:highlight w:val="none"/>
        </w:rPr>
      </w:pPr>
    </w:p>
    <w:p w14:paraId="4EE3DAAA">
      <w:pPr>
        <w:spacing w:line="400" w:lineRule="exact"/>
        <w:ind w:firstLine="600"/>
        <w:rPr>
          <w:rFonts w:hint="eastAsia" w:asciiTheme="minorEastAsia" w:hAnsiTheme="minorEastAsia" w:eastAsiaTheme="minorEastAsia" w:cstheme="minorEastAsia"/>
          <w:b/>
          <w:color w:val="auto"/>
          <w:szCs w:val="21"/>
          <w:highlight w:val="none"/>
        </w:rPr>
      </w:pPr>
    </w:p>
    <w:p w14:paraId="1734078F">
      <w:pPr>
        <w:spacing w:line="400" w:lineRule="exact"/>
        <w:ind w:firstLine="600"/>
        <w:rPr>
          <w:rFonts w:hint="eastAsia" w:asciiTheme="minorEastAsia" w:hAnsiTheme="minorEastAsia" w:eastAsiaTheme="minorEastAsia" w:cstheme="minorEastAsia"/>
          <w:b/>
          <w:color w:val="auto"/>
          <w:szCs w:val="21"/>
          <w:highlight w:val="none"/>
        </w:rPr>
      </w:pPr>
    </w:p>
    <w:p w14:paraId="02E4CE92">
      <w:pPr>
        <w:spacing w:line="400" w:lineRule="exact"/>
        <w:jc w:val="center"/>
        <w:rPr>
          <w:rFonts w:hint="eastAsia" w:asciiTheme="minorEastAsia" w:hAnsiTheme="minorEastAsia" w:eastAsiaTheme="minorEastAsia" w:cstheme="minorEastAsia"/>
          <w:color w:val="auto"/>
          <w:sz w:val="36"/>
          <w:highlight w:val="none"/>
        </w:rPr>
      </w:pPr>
      <w:bookmarkStart w:id="29" w:name="_GoBack"/>
      <w:bookmarkEnd w:id="29"/>
      <w:r>
        <w:rPr>
          <w:rFonts w:hint="eastAsia" w:asciiTheme="minorEastAsia" w:hAnsiTheme="minorEastAsia" w:eastAsiaTheme="minorEastAsia" w:cstheme="minorEastAsia"/>
          <w:b/>
          <w:color w:val="auto"/>
          <w:sz w:val="36"/>
          <w:szCs w:val="36"/>
          <w:highlight w:val="none"/>
        </w:rPr>
        <w:br w:type="page"/>
      </w:r>
      <w:r>
        <w:rPr>
          <w:rFonts w:hint="eastAsia" w:asciiTheme="minorEastAsia" w:hAnsiTheme="minorEastAsia" w:eastAsiaTheme="minorEastAsia" w:cstheme="minorEastAsia"/>
          <w:b/>
          <w:color w:val="auto"/>
          <w:sz w:val="36"/>
          <w:szCs w:val="36"/>
          <w:highlight w:val="none"/>
          <w:lang w:val="en-US" w:eastAsia="zh-CN"/>
        </w:rPr>
        <w:t>3、</w:t>
      </w:r>
      <w:r>
        <w:rPr>
          <w:rFonts w:hint="eastAsia" w:asciiTheme="minorEastAsia" w:hAnsiTheme="minorEastAsia" w:eastAsiaTheme="minorEastAsia" w:cstheme="minorEastAsia"/>
          <w:b/>
          <w:color w:val="auto"/>
          <w:sz w:val="36"/>
          <w:highlight w:val="none"/>
        </w:rPr>
        <w:t>投标分项报价表</w:t>
      </w:r>
    </w:p>
    <w:p w14:paraId="16206E2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308C5085">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tbl>
      <w:tblPr>
        <w:tblStyle w:val="32"/>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6"/>
        <w:gridCol w:w="1125"/>
        <w:gridCol w:w="1385"/>
        <w:gridCol w:w="1425"/>
        <w:gridCol w:w="1062"/>
        <w:gridCol w:w="1156"/>
        <w:gridCol w:w="1157"/>
        <w:gridCol w:w="1011"/>
      </w:tblGrid>
      <w:tr w14:paraId="27E0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blHeader/>
          <w:jc w:val="center"/>
        </w:trPr>
        <w:tc>
          <w:tcPr>
            <w:tcW w:w="1436" w:type="dxa"/>
            <w:tcBorders>
              <w:top w:val="single" w:color="000000" w:sz="8" w:space="0"/>
              <w:left w:val="single" w:color="000000" w:sz="8" w:space="0"/>
              <w:bottom w:val="single" w:color="000000" w:sz="8" w:space="0"/>
              <w:right w:val="single" w:color="000000" w:sz="8" w:space="0"/>
            </w:tcBorders>
            <w:noWrap/>
            <w:vAlign w:val="center"/>
          </w:tcPr>
          <w:p w14:paraId="60CE0D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1125" w:type="dxa"/>
            <w:tcBorders>
              <w:top w:val="single" w:color="000000" w:sz="8" w:space="0"/>
              <w:left w:val="single" w:color="000000" w:sz="8" w:space="0"/>
              <w:bottom w:val="single" w:color="000000" w:sz="8" w:space="0"/>
              <w:right w:val="single" w:color="000000" w:sz="8" w:space="0"/>
            </w:tcBorders>
            <w:noWrap/>
            <w:vAlign w:val="center"/>
          </w:tcPr>
          <w:p w14:paraId="7705D5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10" w:type="dxa"/>
            <w:gridSpan w:val="2"/>
            <w:tcBorders>
              <w:top w:val="single" w:color="000000" w:sz="8" w:space="0"/>
              <w:left w:val="single" w:color="000000" w:sz="8" w:space="0"/>
              <w:bottom w:val="single" w:color="000000" w:sz="8" w:space="0"/>
              <w:right w:val="single" w:color="000000" w:sz="8" w:space="0"/>
            </w:tcBorders>
            <w:noWrap/>
            <w:vAlign w:val="center"/>
          </w:tcPr>
          <w:p w14:paraId="58D226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报价明细内容</w:t>
            </w:r>
          </w:p>
        </w:tc>
        <w:tc>
          <w:tcPr>
            <w:tcW w:w="1062" w:type="dxa"/>
            <w:tcBorders>
              <w:top w:val="single" w:color="000000" w:sz="8" w:space="0"/>
              <w:left w:val="single" w:color="000000" w:sz="8" w:space="0"/>
              <w:bottom w:val="single" w:color="000000" w:sz="8" w:space="0"/>
              <w:right w:val="single" w:color="000000" w:sz="8" w:space="0"/>
            </w:tcBorders>
            <w:noWrap/>
            <w:vAlign w:val="center"/>
          </w:tcPr>
          <w:p w14:paraId="710C4D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56" w:type="dxa"/>
            <w:tcBorders>
              <w:top w:val="single" w:color="000000" w:sz="8" w:space="0"/>
              <w:left w:val="single" w:color="000000" w:sz="8" w:space="0"/>
              <w:bottom w:val="single" w:color="000000" w:sz="8" w:space="0"/>
              <w:right w:val="single" w:color="000000" w:sz="8" w:space="0"/>
            </w:tcBorders>
            <w:noWrap/>
            <w:vAlign w:val="center"/>
          </w:tcPr>
          <w:p w14:paraId="4764F2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157" w:type="dxa"/>
            <w:tcBorders>
              <w:top w:val="single" w:color="000000" w:sz="8" w:space="0"/>
              <w:left w:val="single" w:color="000000" w:sz="8" w:space="0"/>
              <w:bottom w:val="single" w:color="000000" w:sz="8" w:space="0"/>
              <w:right w:val="single" w:color="000000" w:sz="8" w:space="0"/>
            </w:tcBorders>
            <w:noWrap/>
            <w:vAlign w:val="center"/>
          </w:tcPr>
          <w:p w14:paraId="6F4B46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总价</w:t>
            </w:r>
          </w:p>
        </w:tc>
        <w:tc>
          <w:tcPr>
            <w:tcW w:w="1011" w:type="dxa"/>
            <w:tcBorders>
              <w:top w:val="single" w:color="000000" w:sz="8" w:space="0"/>
              <w:left w:val="single" w:color="000000" w:sz="8" w:space="0"/>
              <w:bottom w:val="single" w:color="000000" w:sz="8" w:space="0"/>
              <w:right w:val="single" w:color="000000" w:sz="8" w:space="0"/>
            </w:tcBorders>
            <w:noWrap/>
            <w:vAlign w:val="center"/>
          </w:tcPr>
          <w:p w14:paraId="070C98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CF4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36" w:type="dxa"/>
            <w:vMerge w:val="restart"/>
            <w:tcBorders>
              <w:top w:val="nil"/>
              <w:left w:val="single" w:color="000000" w:sz="8" w:space="0"/>
              <w:bottom w:val="single" w:color="000000" w:sz="8" w:space="0"/>
              <w:right w:val="single" w:color="000000" w:sz="8" w:space="0"/>
            </w:tcBorders>
            <w:noWrap w:val="0"/>
            <w:vAlign w:val="center"/>
          </w:tcPr>
          <w:p w14:paraId="002253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设计服务费用</w:t>
            </w:r>
          </w:p>
        </w:tc>
        <w:tc>
          <w:tcPr>
            <w:tcW w:w="1125" w:type="dxa"/>
            <w:tcBorders>
              <w:top w:val="nil"/>
              <w:left w:val="single" w:color="000000" w:sz="8" w:space="0"/>
              <w:bottom w:val="single" w:color="000000" w:sz="8" w:space="0"/>
              <w:right w:val="single" w:color="000000" w:sz="8" w:space="0"/>
            </w:tcBorders>
            <w:noWrap w:val="0"/>
            <w:vAlign w:val="center"/>
          </w:tcPr>
          <w:p w14:paraId="342927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10" w:type="dxa"/>
            <w:gridSpan w:val="2"/>
            <w:tcBorders>
              <w:top w:val="nil"/>
              <w:left w:val="single" w:color="000000" w:sz="8" w:space="0"/>
              <w:bottom w:val="single" w:color="000000" w:sz="8" w:space="0"/>
              <w:right w:val="single" w:color="000000" w:sz="8" w:space="0"/>
            </w:tcBorders>
            <w:noWrap w:val="0"/>
            <w:vAlign w:val="center"/>
          </w:tcPr>
          <w:p w14:paraId="6CBEC28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舒适型座席车厢</w:t>
            </w:r>
          </w:p>
        </w:tc>
        <w:tc>
          <w:tcPr>
            <w:tcW w:w="1062" w:type="dxa"/>
            <w:tcBorders>
              <w:top w:val="nil"/>
              <w:left w:val="single" w:color="000000" w:sz="8" w:space="0"/>
              <w:bottom w:val="single" w:color="000000" w:sz="8" w:space="0"/>
              <w:right w:val="single" w:color="000000" w:sz="8" w:space="0"/>
            </w:tcBorders>
            <w:noWrap w:val="0"/>
            <w:vAlign w:val="center"/>
          </w:tcPr>
          <w:p w14:paraId="6259BB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4辆</w:t>
            </w:r>
          </w:p>
        </w:tc>
        <w:tc>
          <w:tcPr>
            <w:tcW w:w="1156" w:type="dxa"/>
            <w:tcBorders>
              <w:top w:val="nil"/>
              <w:left w:val="single" w:color="000000" w:sz="8" w:space="0"/>
              <w:bottom w:val="single" w:color="000000" w:sz="8" w:space="0"/>
              <w:right w:val="single" w:color="000000" w:sz="8" w:space="0"/>
            </w:tcBorders>
            <w:noWrap w:val="0"/>
            <w:vAlign w:val="center"/>
          </w:tcPr>
          <w:p w14:paraId="6A7618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59B4A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572492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EFF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55385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43523F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10" w:type="dxa"/>
            <w:gridSpan w:val="2"/>
            <w:tcBorders>
              <w:top w:val="nil"/>
              <w:left w:val="single" w:color="000000" w:sz="8" w:space="0"/>
              <w:bottom w:val="single" w:color="000000" w:sz="8" w:space="0"/>
              <w:right w:val="single" w:color="000000" w:sz="8" w:space="0"/>
            </w:tcBorders>
            <w:noWrap w:val="0"/>
            <w:vAlign w:val="center"/>
          </w:tcPr>
          <w:p w14:paraId="25C7C64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包厢座席车厢</w:t>
            </w:r>
          </w:p>
        </w:tc>
        <w:tc>
          <w:tcPr>
            <w:tcW w:w="1062" w:type="dxa"/>
            <w:tcBorders>
              <w:top w:val="nil"/>
              <w:left w:val="single" w:color="000000" w:sz="8" w:space="0"/>
              <w:bottom w:val="single" w:color="000000" w:sz="8" w:space="0"/>
              <w:right w:val="single" w:color="000000" w:sz="8" w:space="0"/>
            </w:tcBorders>
            <w:noWrap w:val="0"/>
            <w:vAlign w:val="center"/>
          </w:tcPr>
          <w:p w14:paraId="3C5551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辆</w:t>
            </w:r>
          </w:p>
        </w:tc>
        <w:tc>
          <w:tcPr>
            <w:tcW w:w="1156" w:type="dxa"/>
            <w:tcBorders>
              <w:top w:val="nil"/>
              <w:left w:val="single" w:color="000000" w:sz="8" w:space="0"/>
              <w:bottom w:val="single" w:color="000000" w:sz="8" w:space="0"/>
              <w:right w:val="single" w:color="000000" w:sz="8" w:space="0"/>
            </w:tcBorders>
            <w:noWrap w:val="0"/>
            <w:vAlign w:val="center"/>
          </w:tcPr>
          <w:p w14:paraId="4B7D18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7C2CE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80B0E9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396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5A983E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7922B6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2810" w:type="dxa"/>
            <w:gridSpan w:val="2"/>
            <w:tcBorders>
              <w:top w:val="nil"/>
              <w:left w:val="single" w:color="000000" w:sz="8" w:space="0"/>
              <w:bottom w:val="single" w:color="000000" w:sz="8" w:space="0"/>
              <w:right w:val="single" w:color="000000" w:sz="8" w:space="0"/>
            </w:tcBorders>
            <w:noWrap w:val="0"/>
            <w:vAlign w:val="center"/>
          </w:tcPr>
          <w:p w14:paraId="7531447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亲子座席车厢</w:t>
            </w:r>
          </w:p>
        </w:tc>
        <w:tc>
          <w:tcPr>
            <w:tcW w:w="1062" w:type="dxa"/>
            <w:tcBorders>
              <w:top w:val="nil"/>
              <w:left w:val="single" w:color="000000" w:sz="8" w:space="0"/>
              <w:bottom w:val="single" w:color="000000" w:sz="8" w:space="0"/>
              <w:right w:val="single" w:color="000000" w:sz="8" w:space="0"/>
            </w:tcBorders>
            <w:noWrap w:val="0"/>
            <w:vAlign w:val="center"/>
          </w:tcPr>
          <w:p w14:paraId="5A53D8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1辆</w:t>
            </w:r>
          </w:p>
        </w:tc>
        <w:tc>
          <w:tcPr>
            <w:tcW w:w="1156" w:type="dxa"/>
            <w:tcBorders>
              <w:top w:val="nil"/>
              <w:left w:val="single" w:color="000000" w:sz="8" w:space="0"/>
              <w:bottom w:val="single" w:color="000000" w:sz="8" w:space="0"/>
              <w:right w:val="single" w:color="000000" w:sz="8" w:space="0"/>
            </w:tcBorders>
            <w:noWrap w:val="0"/>
            <w:vAlign w:val="center"/>
          </w:tcPr>
          <w:p w14:paraId="2B63C1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58399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D92322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1A1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72032D4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0CDDCD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2810" w:type="dxa"/>
            <w:gridSpan w:val="2"/>
            <w:tcBorders>
              <w:top w:val="nil"/>
              <w:left w:val="single" w:color="000000" w:sz="8" w:space="0"/>
              <w:bottom w:val="single" w:color="000000" w:sz="8" w:space="0"/>
              <w:right w:val="single" w:color="000000" w:sz="8" w:space="0"/>
            </w:tcBorders>
            <w:noWrap w:val="0"/>
            <w:vAlign w:val="center"/>
          </w:tcPr>
          <w:p w14:paraId="202954E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多功能车厢</w:t>
            </w:r>
          </w:p>
        </w:tc>
        <w:tc>
          <w:tcPr>
            <w:tcW w:w="1062" w:type="dxa"/>
            <w:tcBorders>
              <w:top w:val="nil"/>
              <w:left w:val="single" w:color="000000" w:sz="8" w:space="0"/>
              <w:bottom w:val="single" w:color="000000" w:sz="8" w:space="0"/>
              <w:right w:val="single" w:color="000000" w:sz="8" w:space="0"/>
            </w:tcBorders>
            <w:noWrap w:val="0"/>
            <w:vAlign w:val="center"/>
          </w:tcPr>
          <w:p w14:paraId="3F8F43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辆</w:t>
            </w:r>
          </w:p>
        </w:tc>
        <w:tc>
          <w:tcPr>
            <w:tcW w:w="1156" w:type="dxa"/>
            <w:tcBorders>
              <w:top w:val="nil"/>
              <w:left w:val="single" w:color="000000" w:sz="8" w:space="0"/>
              <w:bottom w:val="single" w:color="000000" w:sz="8" w:space="0"/>
              <w:right w:val="single" w:color="000000" w:sz="8" w:space="0"/>
            </w:tcBorders>
            <w:noWrap w:val="0"/>
            <w:vAlign w:val="center"/>
          </w:tcPr>
          <w:p w14:paraId="3BE0AB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28B7EB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EDE9F1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39D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EF3D1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55C937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2810" w:type="dxa"/>
            <w:gridSpan w:val="2"/>
            <w:tcBorders>
              <w:top w:val="nil"/>
              <w:left w:val="single" w:color="000000" w:sz="8" w:space="0"/>
              <w:bottom w:val="single" w:color="000000" w:sz="8" w:space="0"/>
              <w:right w:val="single" w:color="000000" w:sz="8" w:space="0"/>
            </w:tcBorders>
            <w:noWrap w:val="0"/>
            <w:vAlign w:val="center"/>
          </w:tcPr>
          <w:p w14:paraId="5E8888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全列列车外涂装（含机车、发电车）</w:t>
            </w:r>
          </w:p>
        </w:tc>
        <w:tc>
          <w:tcPr>
            <w:tcW w:w="1062" w:type="dxa"/>
            <w:tcBorders>
              <w:top w:val="nil"/>
              <w:left w:val="single" w:color="000000" w:sz="8" w:space="0"/>
              <w:bottom w:val="single" w:color="000000" w:sz="8" w:space="0"/>
              <w:right w:val="single" w:color="000000" w:sz="8" w:space="0"/>
            </w:tcBorders>
            <w:noWrap w:val="0"/>
            <w:vAlign w:val="center"/>
          </w:tcPr>
          <w:p w14:paraId="74EEF8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10辆</w:t>
            </w:r>
          </w:p>
        </w:tc>
        <w:tc>
          <w:tcPr>
            <w:tcW w:w="1156" w:type="dxa"/>
            <w:tcBorders>
              <w:top w:val="nil"/>
              <w:left w:val="single" w:color="000000" w:sz="8" w:space="0"/>
              <w:bottom w:val="single" w:color="000000" w:sz="8" w:space="0"/>
              <w:right w:val="single" w:color="000000" w:sz="8" w:space="0"/>
            </w:tcBorders>
            <w:noWrap w:val="0"/>
            <w:vAlign w:val="center"/>
          </w:tcPr>
          <w:p w14:paraId="3F2B43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031AD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9EC223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含机车发电车</w:t>
            </w:r>
          </w:p>
        </w:tc>
      </w:tr>
      <w:tr w14:paraId="14AD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7E1401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6DE039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6</w:t>
            </w:r>
          </w:p>
        </w:tc>
        <w:tc>
          <w:tcPr>
            <w:tcW w:w="2810" w:type="dxa"/>
            <w:gridSpan w:val="2"/>
            <w:tcBorders>
              <w:top w:val="nil"/>
              <w:left w:val="single" w:color="000000" w:sz="8" w:space="0"/>
              <w:bottom w:val="single" w:color="000000" w:sz="8" w:space="0"/>
              <w:right w:val="single" w:color="000000" w:sz="8" w:space="0"/>
            </w:tcBorders>
            <w:noWrap w:val="0"/>
            <w:vAlign w:val="center"/>
          </w:tcPr>
          <w:p w14:paraId="67D0190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IP形象</w:t>
            </w:r>
          </w:p>
        </w:tc>
        <w:tc>
          <w:tcPr>
            <w:tcW w:w="1062" w:type="dxa"/>
            <w:tcBorders>
              <w:top w:val="nil"/>
              <w:left w:val="single" w:color="000000" w:sz="8" w:space="0"/>
              <w:bottom w:val="single" w:color="000000" w:sz="8" w:space="0"/>
              <w:right w:val="single" w:color="000000" w:sz="8" w:space="0"/>
            </w:tcBorders>
            <w:noWrap w:val="0"/>
            <w:vAlign w:val="center"/>
          </w:tcPr>
          <w:p w14:paraId="7BE95F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36A3F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1929E7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5BC17E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ECA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82775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3CD03E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2810" w:type="dxa"/>
            <w:gridSpan w:val="2"/>
            <w:tcBorders>
              <w:top w:val="nil"/>
              <w:left w:val="single" w:color="000000" w:sz="8" w:space="0"/>
              <w:bottom w:val="single" w:color="000000" w:sz="8" w:space="0"/>
              <w:right w:val="single" w:color="000000" w:sz="8" w:space="0"/>
            </w:tcBorders>
            <w:noWrap w:val="0"/>
            <w:vAlign w:val="center"/>
          </w:tcPr>
          <w:p w14:paraId="3A6761B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设计顾问服务</w:t>
            </w:r>
          </w:p>
        </w:tc>
        <w:tc>
          <w:tcPr>
            <w:tcW w:w="1062" w:type="dxa"/>
            <w:tcBorders>
              <w:top w:val="nil"/>
              <w:left w:val="single" w:color="000000" w:sz="8" w:space="0"/>
              <w:bottom w:val="single" w:color="000000" w:sz="8" w:space="0"/>
              <w:right w:val="single" w:color="000000" w:sz="8" w:space="0"/>
            </w:tcBorders>
            <w:noWrap w:val="0"/>
            <w:vAlign w:val="center"/>
          </w:tcPr>
          <w:p w14:paraId="631ACF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3C168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B334C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35AFB54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F0D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436" w:type="dxa"/>
            <w:vMerge w:val="restart"/>
            <w:tcBorders>
              <w:top w:val="nil"/>
              <w:left w:val="single" w:color="000000" w:sz="8" w:space="0"/>
              <w:bottom w:val="single" w:color="000000" w:sz="8" w:space="0"/>
              <w:right w:val="single" w:color="000000" w:sz="8" w:space="0"/>
            </w:tcBorders>
            <w:noWrap w:val="0"/>
            <w:vAlign w:val="center"/>
          </w:tcPr>
          <w:p w14:paraId="00B41B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厂修及改造费用</w:t>
            </w:r>
          </w:p>
        </w:tc>
        <w:tc>
          <w:tcPr>
            <w:tcW w:w="1125" w:type="dxa"/>
            <w:tcBorders>
              <w:top w:val="nil"/>
              <w:left w:val="single" w:color="000000" w:sz="8" w:space="0"/>
              <w:bottom w:val="single" w:color="000000" w:sz="8" w:space="0"/>
              <w:right w:val="single" w:color="000000" w:sz="8" w:space="0"/>
            </w:tcBorders>
            <w:noWrap w:val="0"/>
            <w:vAlign w:val="center"/>
          </w:tcPr>
          <w:p w14:paraId="361A81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10" w:type="dxa"/>
            <w:gridSpan w:val="2"/>
            <w:tcBorders>
              <w:top w:val="nil"/>
              <w:left w:val="single" w:color="000000" w:sz="8" w:space="0"/>
              <w:bottom w:val="single" w:color="000000" w:sz="8" w:space="0"/>
              <w:right w:val="single" w:color="000000" w:sz="8" w:space="0"/>
            </w:tcBorders>
            <w:noWrap w:val="0"/>
            <w:vAlign w:val="center"/>
          </w:tcPr>
          <w:p w14:paraId="033CF9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基础厂修费用（此报价以25G型AC380V硬座为车源进行厂修报价）</w:t>
            </w:r>
          </w:p>
        </w:tc>
        <w:tc>
          <w:tcPr>
            <w:tcW w:w="1062" w:type="dxa"/>
            <w:tcBorders>
              <w:top w:val="nil"/>
              <w:left w:val="single" w:color="000000" w:sz="8" w:space="0"/>
              <w:bottom w:val="single" w:color="000000" w:sz="8" w:space="0"/>
              <w:right w:val="single" w:color="000000" w:sz="8" w:space="0"/>
            </w:tcBorders>
            <w:noWrap w:val="0"/>
            <w:vAlign w:val="center"/>
          </w:tcPr>
          <w:p w14:paraId="583385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A619B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2882B8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2B0B28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2A2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1E9729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30E60A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10" w:type="dxa"/>
            <w:gridSpan w:val="2"/>
            <w:tcBorders>
              <w:top w:val="nil"/>
              <w:left w:val="single" w:color="000000" w:sz="8" w:space="0"/>
              <w:bottom w:val="single" w:color="000000" w:sz="8" w:space="0"/>
              <w:right w:val="single" w:color="000000" w:sz="8" w:space="0"/>
            </w:tcBorders>
            <w:noWrap w:val="0"/>
            <w:vAlign w:val="center"/>
          </w:tcPr>
          <w:p w14:paraId="699379B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厂修列规程改造项目</w:t>
            </w:r>
          </w:p>
        </w:tc>
        <w:tc>
          <w:tcPr>
            <w:tcW w:w="1062" w:type="dxa"/>
            <w:tcBorders>
              <w:top w:val="nil"/>
              <w:left w:val="single" w:color="000000" w:sz="8" w:space="0"/>
              <w:bottom w:val="single" w:color="000000" w:sz="8" w:space="0"/>
              <w:right w:val="single" w:color="000000" w:sz="8" w:space="0"/>
            </w:tcBorders>
            <w:noWrap w:val="0"/>
            <w:vAlign w:val="center"/>
          </w:tcPr>
          <w:p w14:paraId="06B94C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B4843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95509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6EFFB9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099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010945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3A3280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810" w:type="dxa"/>
            <w:gridSpan w:val="2"/>
            <w:tcBorders>
              <w:top w:val="nil"/>
              <w:left w:val="single" w:color="000000" w:sz="8" w:space="0"/>
              <w:bottom w:val="single" w:color="000000" w:sz="8" w:space="0"/>
              <w:right w:val="single" w:color="000000" w:sz="8" w:space="0"/>
            </w:tcBorders>
            <w:noWrap w:val="0"/>
            <w:vAlign w:val="center"/>
          </w:tcPr>
          <w:p w14:paraId="1B3E54E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电子防滑器检修</w:t>
            </w:r>
          </w:p>
        </w:tc>
        <w:tc>
          <w:tcPr>
            <w:tcW w:w="1062" w:type="dxa"/>
            <w:tcBorders>
              <w:top w:val="nil"/>
              <w:left w:val="single" w:color="000000" w:sz="8" w:space="0"/>
              <w:bottom w:val="single" w:color="000000" w:sz="8" w:space="0"/>
              <w:right w:val="single" w:color="000000" w:sz="8" w:space="0"/>
            </w:tcBorders>
            <w:noWrap w:val="0"/>
            <w:vAlign w:val="center"/>
          </w:tcPr>
          <w:p w14:paraId="29407D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70C8BD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1FF5E2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A9251C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5607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5DF5D9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2E160F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810" w:type="dxa"/>
            <w:gridSpan w:val="2"/>
            <w:tcBorders>
              <w:top w:val="nil"/>
              <w:left w:val="single" w:color="000000" w:sz="8" w:space="0"/>
              <w:bottom w:val="single" w:color="000000" w:sz="8" w:space="0"/>
              <w:right w:val="single" w:color="000000" w:sz="8" w:space="0"/>
            </w:tcBorders>
            <w:noWrap w:val="0"/>
            <w:vAlign w:val="center"/>
          </w:tcPr>
          <w:p w14:paraId="6BF2894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盘型制动</w:t>
            </w:r>
          </w:p>
        </w:tc>
        <w:tc>
          <w:tcPr>
            <w:tcW w:w="1062" w:type="dxa"/>
            <w:tcBorders>
              <w:top w:val="nil"/>
              <w:left w:val="single" w:color="000000" w:sz="8" w:space="0"/>
              <w:bottom w:val="single" w:color="000000" w:sz="8" w:space="0"/>
              <w:right w:val="single" w:color="000000" w:sz="8" w:space="0"/>
            </w:tcBorders>
            <w:noWrap w:val="0"/>
            <w:vAlign w:val="center"/>
          </w:tcPr>
          <w:p w14:paraId="435A61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AE805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10ED0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CFD109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53C4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F1C8F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3CB125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10" w:type="dxa"/>
            <w:gridSpan w:val="2"/>
            <w:tcBorders>
              <w:top w:val="nil"/>
              <w:left w:val="single" w:color="000000" w:sz="8" w:space="0"/>
              <w:bottom w:val="single" w:color="000000" w:sz="8" w:space="0"/>
              <w:right w:val="single" w:color="000000" w:sz="8" w:space="0"/>
            </w:tcBorders>
            <w:noWrap w:val="0"/>
            <w:vAlign w:val="center"/>
          </w:tcPr>
          <w:p w14:paraId="130D896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扣减原车不修部分费用</w:t>
            </w:r>
          </w:p>
        </w:tc>
        <w:tc>
          <w:tcPr>
            <w:tcW w:w="1062" w:type="dxa"/>
            <w:tcBorders>
              <w:top w:val="nil"/>
              <w:left w:val="single" w:color="000000" w:sz="8" w:space="0"/>
              <w:bottom w:val="single" w:color="000000" w:sz="8" w:space="0"/>
              <w:right w:val="single" w:color="000000" w:sz="8" w:space="0"/>
            </w:tcBorders>
            <w:noWrap w:val="0"/>
            <w:vAlign w:val="center"/>
          </w:tcPr>
          <w:p w14:paraId="0DA26D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6B31F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0F7BE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9155C3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700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DBBB99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4F92DD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10" w:type="dxa"/>
            <w:gridSpan w:val="2"/>
            <w:tcBorders>
              <w:top w:val="nil"/>
              <w:left w:val="single" w:color="000000" w:sz="8" w:space="0"/>
              <w:bottom w:val="single" w:color="000000" w:sz="8" w:space="0"/>
              <w:right w:val="single" w:color="000000" w:sz="8" w:space="0"/>
            </w:tcBorders>
            <w:noWrap w:val="0"/>
            <w:vAlign w:val="center"/>
          </w:tcPr>
          <w:p w14:paraId="427F14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单车改造费用（此报价以25G型AC380V硬座为车源进行改造报价）</w:t>
            </w:r>
          </w:p>
        </w:tc>
        <w:tc>
          <w:tcPr>
            <w:tcW w:w="1062" w:type="dxa"/>
            <w:tcBorders>
              <w:top w:val="nil"/>
              <w:left w:val="single" w:color="000000" w:sz="8" w:space="0"/>
              <w:bottom w:val="single" w:color="000000" w:sz="8" w:space="0"/>
              <w:right w:val="single" w:color="000000" w:sz="8" w:space="0"/>
            </w:tcBorders>
            <w:noWrap w:val="0"/>
            <w:vAlign w:val="center"/>
          </w:tcPr>
          <w:p w14:paraId="5C576C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9FBCE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3FB71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DB866D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E65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C37389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63A2B4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810" w:type="dxa"/>
            <w:gridSpan w:val="2"/>
            <w:tcBorders>
              <w:top w:val="nil"/>
              <w:left w:val="single" w:color="000000" w:sz="8" w:space="0"/>
              <w:bottom w:val="single" w:color="000000" w:sz="8" w:space="0"/>
              <w:right w:val="single" w:color="000000" w:sz="8" w:space="0"/>
            </w:tcBorders>
            <w:noWrap w:val="0"/>
            <w:vAlign w:val="center"/>
          </w:tcPr>
          <w:p w14:paraId="6D03939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改造材料费</w:t>
            </w:r>
          </w:p>
        </w:tc>
        <w:tc>
          <w:tcPr>
            <w:tcW w:w="1062" w:type="dxa"/>
            <w:tcBorders>
              <w:top w:val="nil"/>
              <w:left w:val="single" w:color="000000" w:sz="8" w:space="0"/>
              <w:bottom w:val="single" w:color="000000" w:sz="8" w:space="0"/>
              <w:right w:val="single" w:color="000000" w:sz="8" w:space="0"/>
            </w:tcBorders>
            <w:noWrap w:val="0"/>
            <w:vAlign w:val="center"/>
          </w:tcPr>
          <w:p w14:paraId="632E9C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9D89B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AFE23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82E078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D02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674271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1DB0F8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w:t>
            </w:r>
          </w:p>
        </w:tc>
        <w:tc>
          <w:tcPr>
            <w:tcW w:w="2810" w:type="dxa"/>
            <w:gridSpan w:val="2"/>
            <w:tcBorders>
              <w:top w:val="nil"/>
              <w:left w:val="single" w:color="000000" w:sz="8" w:space="0"/>
              <w:bottom w:val="single" w:color="000000" w:sz="8" w:space="0"/>
              <w:right w:val="single" w:color="000000" w:sz="8" w:space="0"/>
            </w:tcBorders>
            <w:noWrap w:val="0"/>
            <w:vAlign w:val="center"/>
          </w:tcPr>
          <w:p w14:paraId="7D8BE5A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钢结构</w:t>
            </w:r>
          </w:p>
        </w:tc>
        <w:tc>
          <w:tcPr>
            <w:tcW w:w="1062" w:type="dxa"/>
            <w:tcBorders>
              <w:top w:val="nil"/>
              <w:left w:val="single" w:color="000000" w:sz="8" w:space="0"/>
              <w:bottom w:val="single" w:color="000000" w:sz="8" w:space="0"/>
              <w:right w:val="single" w:color="000000" w:sz="8" w:space="0"/>
            </w:tcBorders>
            <w:noWrap w:val="0"/>
            <w:vAlign w:val="center"/>
          </w:tcPr>
          <w:p w14:paraId="3D52C4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85EDE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3FAA2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E7D1ED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4C9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1FD55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0631EE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4.1.2</w:t>
            </w:r>
          </w:p>
        </w:tc>
        <w:tc>
          <w:tcPr>
            <w:tcW w:w="2810" w:type="dxa"/>
            <w:gridSpan w:val="2"/>
            <w:tcBorders>
              <w:top w:val="nil"/>
              <w:left w:val="single" w:color="000000" w:sz="8" w:space="0"/>
              <w:bottom w:val="single" w:color="000000" w:sz="8" w:space="0"/>
              <w:right w:val="single" w:color="000000" w:sz="8" w:space="0"/>
            </w:tcBorders>
            <w:noWrap w:val="0"/>
            <w:vAlign w:val="center"/>
          </w:tcPr>
          <w:p w14:paraId="5EDC536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木结构</w:t>
            </w:r>
          </w:p>
        </w:tc>
        <w:tc>
          <w:tcPr>
            <w:tcW w:w="1062" w:type="dxa"/>
            <w:tcBorders>
              <w:top w:val="nil"/>
              <w:left w:val="single" w:color="000000" w:sz="8" w:space="0"/>
              <w:bottom w:val="single" w:color="000000" w:sz="8" w:space="0"/>
              <w:right w:val="single" w:color="000000" w:sz="8" w:space="0"/>
            </w:tcBorders>
            <w:noWrap w:val="0"/>
            <w:vAlign w:val="center"/>
          </w:tcPr>
          <w:p w14:paraId="5119E2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43896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C58BD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3BFC5B9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663C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689838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76579C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4.1.3</w:t>
            </w:r>
          </w:p>
        </w:tc>
        <w:tc>
          <w:tcPr>
            <w:tcW w:w="2810" w:type="dxa"/>
            <w:gridSpan w:val="2"/>
            <w:tcBorders>
              <w:top w:val="nil"/>
              <w:left w:val="single" w:color="000000" w:sz="8" w:space="0"/>
              <w:bottom w:val="single" w:color="000000" w:sz="8" w:space="0"/>
              <w:right w:val="single" w:color="000000" w:sz="8" w:space="0"/>
            </w:tcBorders>
            <w:noWrap w:val="0"/>
            <w:vAlign w:val="center"/>
          </w:tcPr>
          <w:p w14:paraId="4B84923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给水卫生</w:t>
            </w:r>
          </w:p>
        </w:tc>
        <w:tc>
          <w:tcPr>
            <w:tcW w:w="1062" w:type="dxa"/>
            <w:tcBorders>
              <w:top w:val="nil"/>
              <w:left w:val="single" w:color="000000" w:sz="8" w:space="0"/>
              <w:bottom w:val="single" w:color="000000" w:sz="8" w:space="0"/>
              <w:right w:val="single" w:color="000000" w:sz="8" w:space="0"/>
            </w:tcBorders>
            <w:noWrap w:val="0"/>
            <w:vAlign w:val="center"/>
          </w:tcPr>
          <w:p w14:paraId="3CF131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E3E80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8902B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195A90A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6B8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392A1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2142E8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4.1.4</w:t>
            </w:r>
          </w:p>
        </w:tc>
        <w:tc>
          <w:tcPr>
            <w:tcW w:w="2810" w:type="dxa"/>
            <w:gridSpan w:val="2"/>
            <w:tcBorders>
              <w:top w:val="nil"/>
              <w:left w:val="single" w:color="000000" w:sz="8" w:space="0"/>
              <w:bottom w:val="single" w:color="000000" w:sz="8" w:space="0"/>
              <w:right w:val="single" w:color="000000" w:sz="8" w:space="0"/>
            </w:tcBorders>
            <w:noWrap w:val="0"/>
            <w:vAlign w:val="center"/>
          </w:tcPr>
          <w:p w14:paraId="4D483F3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空调电暖</w:t>
            </w:r>
          </w:p>
        </w:tc>
        <w:tc>
          <w:tcPr>
            <w:tcW w:w="1062" w:type="dxa"/>
            <w:tcBorders>
              <w:top w:val="nil"/>
              <w:left w:val="single" w:color="000000" w:sz="8" w:space="0"/>
              <w:bottom w:val="single" w:color="000000" w:sz="8" w:space="0"/>
              <w:right w:val="single" w:color="000000" w:sz="8" w:space="0"/>
            </w:tcBorders>
            <w:noWrap w:val="0"/>
            <w:vAlign w:val="center"/>
          </w:tcPr>
          <w:p w14:paraId="245B45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5189F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C7232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5FF9823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64E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2309BD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1B658E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4.1.5</w:t>
            </w:r>
          </w:p>
        </w:tc>
        <w:tc>
          <w:tcPr>
            <w:tcW w:w="2810" w:type="dxa"/>
            <w:gridSpan w:val="2"/>
            <w:tcBorders>
              <w:top w:val="nil"/>
              <w:left w:val="single" w:color="000000" w:sz="8" w:space="0"/>
              <w:bottom w:val="single" w:color="000000" w:sz="8" w:space="0"/>
              <w:right w:val="single" w:color="000000" w:sz="8" w:space="0"/>
            </w:tcBorders>
            <w:noWrap w:val="0"/>
            <w:vAlign w:val="center"/>
          </w:tcPr>
          <w:p w14:paraId="2B90E15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车电系统</w:t>
            </w:r>
          </w:p>
        </w:tc>
        <w:tc>
          <w:tcPr>
            <w:tcW w:w="1062" w:type="dxa"/>
            <w:tcBorders>
              <w:top w:val="nil"/>
              <w:left w:val="single" w:color="000000" w:sz="8" w:space="0"/>
              <w:bottom w:val="single" w:color="000000" w:sz="8" w:space="0"/>
              <w:right w:val="single" w:color="000000" w:sz="8" w:space="0"/>
            </w:tcBorders>
            <w:noWrap w:val="0"/>
            <w:vAlign w:val="center"/>
          </w:tcPr>
          <w:p w14:paraId="742E1A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FD548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1F7E4B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E32C7A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0BD4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08974B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51080A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4.1.6</w:t>
            </w:r>
          </w:p>
        </w:tc>
        <w:tc>
          <w:tcPr>
            <w:tcW w:w="2810" w:type="dxa"/>
            <w:gridSpan w:val="2"/>
            <w:tcBorders>
              <w:top w:val="nil"/>
              <w:left w:val="single" w:color="000000" w:sz="8" w:space="0"/>
              <w:bottom w:val="single" w:color="000000" w:sz="8" w:space="0"/>
              <w:right w:val="single" w:color="000000" w:sz="8" w:space="0"/>
            </w:tcBorders>
            <w:noWrap w:val="0"/>
            <w:vAlign w:val="center"/>
          </w:tcPr>
          <w:p w14:paraId="5A5589C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w:t>
            </w:r>
          </w:p>
        </w:tc>
        <w:tc>
          <w:tcPr>
            <w:tcW w:w="1062" w:type="dxa"/>
            <w:tcBorders>
              <w:top w:val="nil"/>
              <w:left w:val="single" w:color="000000" w:sz="8" w:space="0"/>
              <w:bottom w:val="single" w:color="000000" w:sz="8" w:space="0"/>
              <w:right w:val="single" w:color="000000" w:sz="8" w:space="0"/>
            </w:tcBorders>
            <w:noWrap w:val="0"/>
            <w:vAlign w:val="center"/>
          </w:tcPr>
          <w:p w14:paraId="0BC368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7B51A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A1828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3048C5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68E7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03164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7911FE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4.1.7</w:t>
            </w:r>
          </w:p>
        </w:tc>
        <w:tc>
          <w:tcPr>
            <w:tcW w:w="2810" w:type="dxa"/>
            <w:gridSpan w:val="2"/>
            <w:tcBorders>
              <w:top w:val="nil"/>
              <w:left w:val="single" w:color="000000" w:sz="8" w:space="0"/>
              <w:bottom w:val="single" w:color="000000" w:sz="8" w:space="0"/>
              <w:right w:val="single" w:color="000000" w:sz="8" w:space="0"/>
            </w:tcBorders>
            <w:noWrap w:val="0"/>
            <w:vAlign w:val="center"/>
          </w:tcPr>
          <w:p w14:paraId="495C1D2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制动系统</w:t>
            </w:r>
          </w:p>
        </w:tc>
        <w:tc>
          <w:tcPr>
            <w:tcW w:w="1062" w:type="dxa"/>
            <w:tcBorders>
              <w:top w:val="nil"/>
              <w:left w:val="single" w:color="000000" w:sz="8" w:space="0"/>
              <w:bottom w:val="single" w:color="000000" w:sz="8" w:space="0"/>
              <w:right w:val="single" w:color="000000" w:sz="8" w:space="0"/>
            </w:tcBorders>
            <w:noWrap w:val="0"/>
            <w:vAlign w:val="center"/>
          </w:tcPr>
          <w:p w14:paraId="2E8510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4CF38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14BD3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48EF08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342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3E0FAF8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5744C2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4.1.8</w:t>
            </w:r>
          </w:p>
        </w:tc>
        <w:tc>
          <w:tcPr>
            <w:tcW w:w="2810" w:type="dxa"/>
            <w:gridSpan w:val="2"/>
            <w:tcBorders>
              <w:top w:val="nil"/>
              <w:left w:val="single" w:color="000000" w:sz="8" w:space="0"/>
              <w:bottom w:val="single" w:color="000000" w:sz="8" w:space="0"/>
              <w:right w:val="single" w:color="000000" w:sz="8" w:space="0"/>
            </w:tcBorders>
            <w:noWrap w:val="0"/>
            <w:vAlign w:val="center"/>
          </w:tcPr>
          <w:p w14:paraId="1F8792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外皮油漆及贴膜（含机车、发电车）</w:t>
            </w:r>
          </w:p>
        </w:tc>
        <w:tc>
          <w:tcPr>
            <w:tcW w:w="1062" w:type="dxa"/>
            <w:tcBorders>
              <w:top w:val="nil"/>
              <w:left w:val="single" w:color="000000" w:sz="8" w:space="0"/>
              <w:bottom w:val="single" w:color="000000" w:sz="8" w:space="0"/>
              <w:right w:val="single" w:color="000000" w:sz="8" w:space="0"/>
            </w:tcBorders>
            <w:noWrap w:val="0"/>
            <w:vAlign w:val="center"/>
          </w:tcPr>
          <w:p w14:paraId="1A4494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2A0B8F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BDE14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968A2D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8D8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6902DF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1CC681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4.1.9</w:t>
            </w:r>
          </w:p>
        </w:tc>
        <w:tc>
          <w:tcPr>
            <w:tcW w:w="2810" w:type="dxa"/>
            <w:gridSpan w:val="2"/>
            <w:tcBorders>
              <w:top w:val="nil"/>
              <w:left w:val="single" w:color="000000" w:sz="8" w:space="0"/>
              <w:bottom w:val="single" w:color="000000" w:sz="8" w:space="0"/>
              <w:right w:val="single" w:color="000000" w:sz="8" w:space="0"/>
            </w:tcBorders>
            <w:noWrap w:val="0"/>
            <w:vAlign w:val="center"/>
          </w:tcPr>
          <w:p w14:paraId="61E186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内装饰（含车内顶板、侧墙板、间壁板、地板、座椅（全列约300个座椅席位）及设备等）</w:t>
            </w:r>
          </w:p>
        </w:tc>
        <w:tc>
          <w:tcPr>
            <w:tcW w:w="1062" w:type="dxa"/>
            <w:tcBorders>
              <w:top w:val="nil"/>
              <w:left w:val="single" w:color="000000" w:sz="8" w:space="0"/>
              <w:bottom w:val="single" w:color="000000" w:sz="8" w:space="0"/>
              <w:right w:val="single" w:color="000000" w:sz="8" w:space="0"/>
            </w:tcBorders>
            <w:noWrap w:val="0"/>
            <w:vAlign w:val="center"/>
          </w:tcPr>
          <w:p w14:paraId="3431B7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5125F1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61955D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8639E2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790A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1F78D8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16590A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4.1.10</w:t>
            </w:r>
          </w:p>
        </w:tc>
        <w:tc>
          <w:tcPr>
            <w:tcW w:w="2810" w:type="dxa"/>
            <w:gridSpan w:val="2"/>
            <w:tcBorders>
              <w:top w:val="nil"/>
              <w:left w:val="single" w:color="000000" w:sz="8" w:space="0"/>
              <w:bottom w:val="single" w:color="000000" w:sz="8" w:space="0"/>
              <w:right w:val="single" w:color="000000" w:sz="8" w:space="0"/>
            </w:tcBorders>
            <w:noWrap w:val="0"/>
            <w:vAlign w:val="center"/>
          </w:tcPr>
          <w:p w14:paraId="592273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备品（车辆改造易损易耗件）</w:t>
            </w:r>
          </w:p>
        </w:tc>
        <w:tc>
          <w:tcPr>
            <w:tcW w:w="1062" w:type="dxa"/>
            <w:tcBorders>
              <w:top w:val="nil"/>
              <w:left w:val="single" w:color="000000" w:sz="8" w:space="0"/>
              <w:bottom w:val="single" w:color="000000" w:sz="8" w:space="0"/>
              <w:right w:val="single" w:color="000000" w:sz="8" w:space="0"/>
            </w:tcBorders>
            <w:noWrap w:val="0"/>
            <w:vAlign w:val="center"/>
          </w:tcPr>
          <w:p w14:paraId="2A519F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05C452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3131D3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BB5B31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3994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1CB897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51DCC0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4.1.11</w:t>
            </w:r>
          </w:p>
        </w:tc>
        <w:tc>
          <w:tcPr>
            <w:tcW w:w="2810" w:type="dxa"/>
            <w:gridSpan w:val="2"/>
            <w:tcBorders>
              <w:top w:val="nil"/>
              <w:left w:val="single" w:color="000000" w:sz="8" w:space="0"/>
              <w:bottom w:val="single" w:color="000000" w:sz="8" w:space="0"/>
              <w:right w:val="single" w:color="000000" w:sz="8" w:space="0"/>
            </w:tcBorders>
            <w:noWrap w:val="0"/>
            <w:vAlign w:val="center"/>
          </w:tcPr>
          <w:p w14:paraId="6DDA0DA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消耗材料及防护</w:t>
            </w:r>
          </w:p>
        </w:tc>
        <w:tc>
          <w:tcPr>
            <w:tcW w:w="1062" w:type="dxa"/>
            <w:tcBorders>
              <w:top w:val="nil"/>
              <w:left w:val="single" w:color="000000" w:sz="8" w:space="0"/>
              <w:bottom w:val="single" w:color="000000" w:sz="8" w:space="0"/>
              <w:right w:val="single" w:color="000000" w:sz="8" w:space="0"/>
            </w:tcBorders>
            <w:noWrap w:val="0"/>
            <w:vAlign w:val="center"/>
          </w:tcPr>
          <w:p w14:paraId="369790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74461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2D2CB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3A180EC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286F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4C02FC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78900E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4.1.12</w:t>
            </w:r>
          </w:p>
        </w:tc>
        <w:tc>
          <w:tcPr>
            <w:tcW w:w="2810" w:type="dxa"/>
            <w:gridSpan w:val="2"/>
            <w:tcBorders>
              <w:top w:val="nil"/>
              <w:left w:val="single" w:color="000000" w:sz="8" w:space="0"/>
              <w:bottom w:val="single" w:color="000000" w:sz="8" w:space="0"/>
              <w:right w:val="single" w:color="000000" w:sz="8" w:space="0"/>
            </w:tcBorders>
            <w:noWrap w:val="0"/>
            <w:vAlign w:val="center"/>
          </w:tcPr>
          <w:p w14:paraId="5F336D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智能商显（</w:t>
            </w:r>
            <w:r>
              <w:rPr>
                <w:rFonts w:hint="eastAsia" w:ascii="宋体" w:hAnsi="宋体" w:cs="宋体"/>
                <w:i w:val="0"/>
                <w:iCs w:val="0"/>
                <w:color w:val="auto"/>
                <w:kern w:val="0"/>
                <w:sz w:val="24"/>
                <w:szCs w:val="24"/>
                <w:highlight w:val="none"/>
                <w:u w:val="none"/>
                <w:lang w:val="en-US" w:eastAsia="zh-CN" w:bidi="ar"/>
              </w:rPr>
              <w:t>结合运营需求，在车厢不同位置设计屏幕，满足展示、互动等需求</w:t>
            </w:r>
            <w:r>
              <w:rPr>
                <w:rFonts w:hint="eastAsia" w:ascii="宋体" w:hAnsi="宋体" w:eastAsia="宋体" w:cs="宋体"/>
                <w:i w:val="0"/>
                <w:iCs w:val="0"/>
                <w:color w:val="auto"/>
                <w:kern w:val="0"/>
                <w:sz w:val="24"/>
                <w:szCs w:val="24"/>
                <w:highlight w:val="none"/>
                <w:u w:val="none"/>
                <w:lang w:val="en-US" w:eastAsia="zh-CN" w:bidi="ar"/>
              </w:rPr>
              <w:t>）</w:t>
            </w:r>
          </w:p>
        </w:tc>
        <w:tc>
          <w:tcPr>
            <w:tcW w:w="1062" w:type="dxa"/>
            <w:tcBorders>
              <w:top w:val="nil"/>
              <w:left w:val="single" w:color="000000" w:sz="8" w:space="0"/>
              <w:bottom w:val="single" w:color="000000" w:sz="8" w:space="0"/>
              <w:right w:val="single" w:color="000000" w:sz="8" w:space="0"/>
            </w:tcBorders>
            <w:noWrap w:val="0"/>
            <w:vAlign w:val="center"/>
          </w:tcPr>
          <w:p w14:paraId="315112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6D6F3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777D10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09781C8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8FD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7CAD34B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0C3DA1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810" w:type="dxa"/>
            <w:gridSpan w:val="2"/>
            <w:tcBorders>
              <w:top w:val="nil"/>
              <w:left w:val="single" w:color="000000" w:sz="8" w:space="0"/>
              <w:bottom w:val="single" w:color="000000" w:sz="8" w:space="0"/>
              <w:right w:val="single" w:color="000000" w:sz="8" w:space="0"/>
            </w:tcBorders>
            <w:noWrap w:val="0"/>
            <w:vAlign w:val="center"/>
          </w:tcPr>
          <w:p w14:paraId="6B0D9D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制造费</w:t>
            </w:r>
          </w:p>
        </w:tc>
        <w:tc>
          <w:tcPr>
            <w:tcW w:w="1062" w:type="dxa"/>
            <w:tcBorders>
              <w:top w:val="nil"/>
              <w:left w:val="single" w:color="000000" w:sz="8" w:space="0"/>
              <w:bottom w:val="single" w:color="000000" w:sz="8" w:space="0"/>
              <w:right w:val="single" w:color="000000" w:sz="8" w:space="0"/>
            </w:tcBorders>
            <w:noWrap w:val="0"/>
            <w:vAlign w:val="center"/>
          </w:tcPr>
          <w:p w14:paraId="44A6B5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3DCA71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5C8B11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7463DA8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D59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436" w:type="dxa"/>
            <w:vMerge w:val="continue"/>
            <w:tcBorders>
              <w:top w:val="nil"/>
              <w:left w:val="single" w:color="000000" w:sz="8" w:space="0"/>
              <w:bottom w:val="single" w:color="000000" w:sz="8" w:space="0"/>
              <w:right w:val="single" w:color="000000" w:sz="8" w:space="0"/>
            </w:tcBorders>
            <w:noWrap w:val="0"/>
            <w:vAlign w:val="center"/>
          </w:tcPr>
          <w:p w14:paraId="5416230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p>
        </w:tc>
        <w:tc>
          <w:tcPr>
            <w:tcW w:w="1125" w:type="dxa"/>
            <w:tcBorders>
              <w:top w:val="nil"/>
              <w:left w:val="single" w:color="000000" w:sz="8" w:space="0"/>
              <w:bottom w:val="single" w:color="000000" w:sz="8" w:space="0"/>
              <w:right w:val="single" w:color="000000" w:sz="8" w:space="0"/>
            </w:tcBorders>
            <w:noWrap w:val="0"/>
            <w:vAlign w:val="center"/>
          </w:tcPr>
          <w:p w14:paraId="2BD278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810" w:type="dxa"/>
            <w:gridSpan w:val="2"/>
            <w:tcBorders>
              <w:top w:val="nil"/>
              <w:left w:val="single" w:color="000000" w:sz="8" w:space="0"/>
              <w:bottom w:val="single" w:color="000000" w:sz="8" w:space="0"/>
              <w:right w:val="single" w:color="000000" w:sz="8" w:space="0"/>
            </w:tcBorders>
            <w:noWrap w:val="0"/>
            <w:vAlign w:val="center"/>
          </w:tcPr>
          <w:p w14:paraId="6B32C32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期间费</w:t>
            </w:r>
          </w:p>
        </w:tc>
        <w:tc>
          <w:tcPr>
            <w:tcW w:w="1062" w:type="dxa"/>
            <w:tcBorders>
              <w:top w:val="nil"/>
              <w:left w:val="single" w:color="000000" w:sz="8" w:space="0"/>
              <w:bottom w:val="single" w:color="000000" w:sz="8" w:space="0"/>
              <w:right w:val="single" w:color="000000" w:sz="8" w:space="0"/>
            </w:tcBorders>
            <w:noWrap w:val="0"/>
            <w:vAlign w:val="center"/>
          </w:tcPr>
          <w:p w14:paraId="73D4B2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61C661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0807A4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2EB9FA9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455D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1436" w:type="dxa"/>
            <w:tcBorders>
              <w:top w:val="nil"/>
              <w:left w:val="single" w:color="000000" w:sz="8" w:space="0"/>
              <w:bottom w:val="single" w:color="000000" w:sz="8" w:space="0"/>
              <w:right w:val="single" w:color="000000" w:sz="8" w:space="0"/>
            </w:tcBorders>
            <w:noWrap w:val="0"/>
            <w:vAlign w:val="center"/>
          </w:tcPr>
          <w:p w14:paraId="5B31F9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计算试验费用</w:t>
            </w:r>
          </w:p>
        </w:tc>
        <w:tc>
          <w:tcPr>
            <w:tcW w:w="2510" w:type="dxa"/>
            <w:gridSpan w:val="2"/>
            <w:tcBorders>
              <w:top w:val="nil"/>
              <w:left w:val="single" w:color="000000" w:sz="8" w:space="0"/>
              <w:bottom w:val="single" w:color="000000" w:sz="8" w:space="0"/>
              <w:right w:val="single" w:color="000000" w:sz="8" w:space="0"/>
            </w:tcBorders>
            <w:noWrap w:val="0"/>
            <w:vAlign w:val="center"/>
          </w:tcPr>
          <w:p w14:paraId="3AF4B1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计算、试验等一次性费用（含税）</w:t>
            </w:r>
          </w:p>
        </w:tc>
        <w:tc>
          <w:tcPr>
            <w:tcW w:w="1425" w:type="dxa"/>
            <w:tcBorders>
              <w:top w:val="nil"/>
              <w:left w:val="single" w:color="000000" w:sz="8" w:space="0"/>
              <w:bottom w:val="single" w:color="000000" w:sz="8" w:space="0"/>
              <w:right w:val="single" w:color="000000" w:sz="8" w:space="0"/>
            </w:tcBorders>
            <w:noWrap w:val="0"/>
            <w:vAlign w:val="center"/>
          </w:tcPr>
          <w:p w14:paraId="53E41D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动力学，车体强度（含模态）试验，电气负荷，空调采暖能力，制动性能，供水供风集污能力计算等</w:t>
            </w:r>
          </w:p>
        </w:tc>
        <w:tc>
          <w:tcPr>
            <w:tcW w:w="1062" w:type="dxa"/>
            <w:tcBorders>
              <w:top w:val="nil"/>
              <w:left w:val="single" w:color="000000" w:sz="8" w:space="0"/>
              <w:bottom w:val="single" w:color="000000" w:sz="8" w:space="0"/>
              <w:right w:val="single" w:color="000000" w:sz="8" w:space="0"/>
            </w:tcBorders>
            <w:noWrap w:val="0"/>
            <w:vAlign w:val="center"/>
          </w:tcPr>
          <w:p w14:paraId="2E2597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1列</w:t>
            </w:r>
          </w:p>
        </w:tc>
        <w:tc>
          <w:tcPr>
            <w:tcW w:w="1156" w:type="dxa"/>
            <w:tcBorders>
              <w:top w:val="nil"/>
              <w:left w:val="single" w:color="000000" w:sz="8" w:space="0"/>
              <w:bottom w:val="single" w:color="000000" w:sz="8" w:space="0"/>
              <w:right w:val="single" w:color="000000" w:sz="8" w:space="0"/>
            </w:tcBorders>
            <w:noWrap w:val="0"/>
            <w:vAlign w:val="center"/>
          </w:tcPr>
          <w:p w14:paraId="41571B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157" w:type="dxa"/>
            <w:tcBorders>
              <w:top w:val="nil"/>
              <w:left w:val="single" w:color="000000" w:sz="8" w:space="0"/>
              <w:bottom w:val="single" w:color="000000" w:sz="8" w:space="0"/>
              <w:right w:val="single" w:color="000000" w:sz="8" w:space="0"/>
            </w:tcBorders>
            <w:noWrap w:val="0"/>
            <w:vAlign w:val="center"/>
          </w:tcPr>
          <w:p w14:paraId="4AB4F4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center"/>
              <w:rPr>
                <w:rFonts w:hint="eastAsia" w:ascii="宋体" w:hAnsi="宋体" w:eastAsia="宋体" w:cs="宋体"/>
                <w:i w:val="0"/>
                <w:iCs w:val="0"/>
                <w:color w:val="auto"/>
                <w:sz w:val="24"/>
                <w:szCs w:val="24"/>
                <w:highlight w:val="none"/>
                <w:u w:val="none"/>
              </w:rPr>
            </w:pPr>
          </w:p>
        </w:tc>
        <w:tc>
          <w:tcPr>
            <w:tcW w:w="1011" w:type="dxa"/>
            <w:tcBorders>
              <w:top w:val="nil"/>
              <w:left w:val="single" w:color="000000" w:sz="8" w:space="0"/>
              <w:bottom w:val="single" w:color="000000" w:sz="8" w:space="0"/>
              <w:right w:val="single" w:color="000000" w:sz="8" w:space="0"/>
            </w:tcBorders>
            <w:noWrap w:val="0"/>
            <w:vAlign w:val="center"/>
          </w:tcPr>
          <w:p w14:paraId="64A5309A">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highlight w:val="none"/>
                <w:u w:val="none"/>
              </w:rPr>
            </w:pPr>
          </w:p>
        </w:tc>
      </w:tr>
      <w:tr w14:paraId="1C81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436" w:type="dxa"/>
            <w:tcBorders>
              <w:top w:val="nil"/>
              <w:left w:val="single" w:color="000000" w:sz="8" w:space="0"/>
              <w:bottom w:val="single" w:color="000000" w:sz="8" w:space="0"/>
              <w:right w:val="single" w:color="000000" w:sz="8" w:space="0"/>
            </w:tcBorders>
            <w:noWrap w:val="0"/>
            <w:vAlign w:val="center"/>
          </w:tcPr>
          <w:p w14:paraId="45E5A1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项目总费用</w:t>
            </w:r>
          </w:p>
          <w:p w14:paraId="514856EF">
            <w:pPr>
              <w:pStyle w:val="2"/>
              <w:keepNext w:val="0"/>
              <w:keepLines w:val="0"/>
              <w:pageBreakBefore w:val="0"/>
              <w:tabs>
                <w:tab w:val="right" w:leader="dot" w:pos="8918"/>
                <w:tab w:val="clear" w:pos="735"/>
                <w:tab w:val="clear" w:pos="953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（含税）</w:t>
            </w:r>
          </w:p>
        </w:tc>
        <w:tc>
          <w:tcPr>
            <w:tcW w:w="8321" w:type="dxa"/>
            <w:gridSpan w:val="7"/>
            <w:tcBorders>
              <w:top w:val="nil"/>
              <w:left w:val="single" w:color="000000" w:sz="8" w:space="0"/>
              <w:bottom w:val="single" w:color="000000" w:sz="8" w:space="0"/>
              <w:right w:val="single" w:color="000000" w:sz="8" w:space="0"/>
            </w:tcBorders>
            <w:noWrap w:val="0"/>
            <w:vAlign w:val="center"/>
          </w:tcPr>
          <w:p w14:paraId="356995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总计：       元</w:t>
            </w:r>
          </w:p>
        </w:tc>
      </w:tr>
    </w:tbl>
    <w:p w14:paraId="43CF9451">
      <w:pPr>
        <w:spacing w:line="400" w:lineRule="exact"/>
        <w:rPr>
          <w:rFonts w:hint="eastAsia" w:asciiTheme="minorEastAsia" w:hAnsiTheme="minorEastAsia" w:eastAsiaTheme="minorEastAsia" w:cstheme="minorEastAsia"/>
          <w:color w:val="auto"/>
          <w:sz w:val="24"/>
          <w:szCs w:val="24"/>
          <w:highlight w:val="none"/>
        </w:rPr>
      </w:pPr>
    </w:p>
    <w:p w14:paraId="5D88044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此表投标价若与开标一览表有出入，以开标一览表投标价格为准。</w:t>
      </w:r>
    </w:p>
    <w:p w14:paraId="64C61D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37866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0F4605A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66F3FA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投标人代表签</w:t>
      </w:r>
      <w:r>
        <w:rPr>
          <w:rFonts w:hint="eastAsia" w:asciiTheme="minorEastAsia" w:hAnsiTheme="minorEastAsia" w:eastAsiaTheme="minorEastAsia" w:cstheme="minorEastAsia"/>
          <w:color w:val="auto"/>
          <w:sz w:val="24"/>
          <w:szCs w:val="24"/>
          <w:highlight w:val="none"/>
          <w:lang w:val="en-US" w:eastAsia="zh-CN"/>
        </w:rPr>
        <w:t>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C73483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5C80E0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E620F2C">
      <w:pPr>
        <w:spacing w:line="400" w:lineRule="exact"/>
        <w:jc w:val="center"/>
        <w:rPr>
          <w:rFonts w:hint="eastAsia" w:asciiTheme="minorEastAsia" w:hAnsiTheme="minorEastAsia" w:eastAsiaTheme="minorEastAsia" w:cstheme="minorEastAsia"/>
          <w:b/>
          <w:color w:val="auto"/>
          <w:sz w:val="36"/>
          <w:szCs w:val="36"/>
          <w:highlight w:val="none"/>
        </w:rPr>
      </w:pPr>
    </w:p>
    <w:p w14:paraId="0AF8D108">
      <w:pPr>
        <w:pStyle w:val="82"/>
        <w:spacing w:line="400" w:lineRule="exact"/>
        <w:rPr>
          <w:rFonts w:hint="eastAsia" w:asciiTheme="minorEastAsia" w:hAnsiTheme="minorEastAsia" w:eastAsiaTheme="minorEastAsia" w:cstheme="minorEastAsia"/>
          <w:b/>
          <w:color w:val="auto"/>
          <w:sz w:val="36"/>
          <w:szCs w:val="36"/>
          <w:highlight w:val="none"/>
        </w:rPr>
      </w:pPr>
    </w:p>
    <w:p w14:paraId="018B8338">
      <w:pPr>
        <w:spacing w:line="400" w:lineRule="exact"/>
        <w:jc w:val="center"/>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b/>
          <w:color w:val="auto"/>
          <w:sz w:val="36"/>
          <w:szCs w:val="36"/>
          <w:highlight w:val="none"/>
          <w:lang w:val="en-US" w:eastAsia="zh-CN"/>
        </w:rPr>
        <w:t>4、</w:t>
      </w:r>
      <w:r>
        <w:rPr>
          <w:rFonts w:hint="eastAsia" w:asciiTheme="minorEastAsia" w:hAnsiTheme="minorEastAsia" w:eastAsiaTheme="minorEastAsia" w:cstheme="minorEastAsia"/>
          <w:b/>
          <w:color w:val="auto"/>
          <w:sz w:val="36"/>
          <w:szCs w:val="36"/>
          <w:highlight w:val="none"/>
        </w:rPr>
        <w:t>退还投标保证金函</w:t>
      </w:r>
    </w:p>
    <w:p w14:paraId="4476E2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eastAsiaTheme="minorEastAsia" w:cstheme="minorEastAsia"/>
          <w:b/>
          <w:color w:val="auto"/>
          <w:sz w:val="24"/>
          <w:szCs w:val="24"/>
          <w:highlight w:val="none"/>
          <w:lang w:eastAsia="zh-CN"/>
        </w:rPr>
        <w:t>:福建鼎御招标有限公司</w:t>
      </w:r>
    </w:p>
    <w:p w14:paraId="42C58D2E">
      <w:pPr>
        <w:keepNext w:val="0"/>
        <w:keepLines w:val="0"/>
        <w:pageBreakBefore w:val="0"/>
        <w:widowControl w:val="0"/>
        <w:tabs>
          <w:tab w:val="left" w:pos="978"/>
        </w:tabs>
        <w:kinsoku/>
        <w:wordWrap/>
        <w:overflowPunct/>
        <w:topLinePunct w:val="0"/>
        <w:autoSpaceDE/>
        <w:autoSpaceDN/>
        <w:bidi w:val="0"/>
        <w:adjustRightInd/>
        <w:snapToGrid/>
        <w:spacing w:line="440" w:lineRule="exact"/>
        <w:ind w:firstLine="470" w:firstLineChars="196"/>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我司于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日参与贵司组织开标的</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编号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pacing w:val="-14"/>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)投标，我司于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月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 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(同城转账、异城电汇)形式向贵司账户缴纳投标保证金(大写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元)，当可退回时，请退回到我司以下账户</w:t>
      </w:r>
      <w:r>
        <w:rPr>
          <w:rFonts w:hint="eastAsia" w:asciiTheme="minorEastAsia" w:hAnsiTheme="minorEastAsia" w:eastAsiaTheme="minorEastAsia" w:cstheme="minorEastAsia"/>
          <w:color w:val="auto"/>
          <w:sz w:val="24"/>
          <w:szCs w:val="24"/>
          <w:highlight w:val="none"/>
          <w:lang w:eastAsia="zh-CN"/>
        </w:rPr>
        <w:t>:</w:t>
      </w:r>
    </w:p>
    <w:p w14:paraId="58143AC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305EB8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6D3DE07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E0C67B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公司所在地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省       市       县 </w:t>
      </w:r>
    </w:p>
    <w:p w14:paraId="229FD1B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(手机)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(固话)</w:t>
      </w:r>
    </w:p>
    <w:p w14:paraId="3F43B39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投标人名称(全称并加盖公章)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36CB88B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p>
    <w:p w14:paraId="3C18198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附</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汇款凭证</w:t>
      </w:r>
    </w:p>
    <w:p w14:paraId="5B8B0005">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eastAsiaTheme="minorEastAsia" w:cstheme="minorEastAsia"/>
          <w:b/>
          <w:color w:val="auto"/>
          <w:sz w:val="24"/>
          <w:szCs w:val="24"/>
          <w:highlight w:val="none"/>
          <w:u w:val="single"/>
        </w:rPr>
      </w:pPr>
    </w:p>
    <w:p w14:paraId="3A111CD4">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highlight w:val="none"/>
        </w:rPr>
      </w:pPr>
    </w:p>
    <w:p w14:paraId="1CF88D8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注意事项</w:t>
      </w:r>
      <w:r>
        <w:rPr>
          <w:rFonts w:hint="eastAsia" w:asciiTheme="minorEastAsia" w:hAnsiTheme="minorEastAsia" w:eastAsiaTheme="minorEastAsia" w:cstheme="minorEastAsia"/>
          <w:b/>
          <w:color w:val="auto"/>
          <w:sz w:val="24"/>
          <w:szCs w:val="24"/>
          <w:highlight w:val="none"/>
          <w:lang w:eastAsia="zh-CN"/>
        </w:rPr>
        <w:t>:</w:t>
      </w:r>
    </w:p>
    <w:p w14:paraId="46179799">
      <w:pPr>
        <w:keepNext w:val="0"/>
        <w:keepLines w:val="0"/>
        <w:pageBreakBefore w:val="0"/>
        <w:tabs>
          <w:tab w:val="left" w:pos="978"/>
        </w:tabs>
        <w:kinsoku/>
        <w:wordWrap/>
        <w:overflowPunct/>
        <w:topLinePunct w:val="0"/>
        <w:autoSpaceDE/>
        <w:autoSpaceDN/>
        <w:bidi w:val="0"/>
        <w:adjustRightInd/>
        <w:snapToGrid/>
        <w:spacing w:line="420" w:lineRule="exact"/>
        <w:ind w:firstLine="472" w:firstLineChars="196"/>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1、以上内容应详细填写，不可简化；</w:t>
      </w:r>
    </w:p>
    <w:p w14:paraId="7BD48CC5">
      <w:pPr>
        <w:keepNext w:val="0"/>
        <w:keepLines w:val="0"/>
        <w:pageBreakBefore w:val="0"/>
        <w:tabs>
          <w:tab w:val="left" w:pos="978"/>
        </w:tabs>
        <w:kinsoku/>
        <w:wordWrap/>
        <w:overflowPunct/>
        <w:topLinePunct w:val="0"/>
        <w:autoSpaceDE/>
        <w:autoSpaceDN/>
        <w:bidi w:val="0"/>
        <w:adjustRightInd/>
        <w:snapToGrid/>
        <w:spacing w:line="420" w:lineRule="exact"/>
        <w:ind w:firstLine="472" w:firstLineChars="196"/>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2、未能及时缴交本表以及填写相关信息</w:t>
      </w:r>
      <w:r>
        <w:rPr>
          <w:rFonts w:hint="eastAsia" w:asciiTheme="minorEastAsia" w:hAnsiTheme="minorEastAsia" w:eastAsiaTheme="minorEastAsia" w:cstheme="minorEastAsia"/>
          <w:b/>
          <w:color w:val="auto"/>
          <w:sz w:val="24"/>
          <w:szCs w:val="24"/>
          <w:highlight w:val="none"/>
          <w:lang w:eastAsia="zh-CN"/>
        </w:rPr>
        <w:t>而导</w:t>
      </w:r>
      <w:r>
        <w:rPr>
          <w:rFonts w:hint="eastAsia" w:asciiTheme="minorEastAsia" w:hAnsiTheme="minorEastAsia" w:eastAsiaTheme="minorEastAsia" w:cstheme="minorEastAsia"/>
          <w:b/>
          <w:color w:val="auto"/>
          <w:sz w:val="24"/>
          <w:szCs w:val="24"/>
          <w:highlight w:val="none"/>
        </w:rPr>
        <w:t>致未能及时退还投标保证金的，</w:t>
      </w:r>
      <w:r>
        <w:rPr>
          <w:rFonts w:hint="eastAsia" w:asciiTheme="minorEastAsia" w:hAnsiTheme="minorEastAsia" w:eastAsiaTheme="minorEastAsia" w:cstheme="minorEastAsia"/>
          <w:b/>
          <w:color w:val="auto"/>
          <w:sz w:val="24"/>
          <w:szCs w:val="24"/>
          <w:highlight w:val="none"/>
          <w:lang w:eastAsia="zh-CN"/>
        </w:rPr>
        <w:t>福建鼎御招标有限公司</w:t>
      </w:r>
      <w:r>
        <w:rPr>
          <w:rFonts w:hint="eastAsia" w:asciiTheme="minorEastAsia" w:hAnsiTheme="minorEastAsia" w:eastAsiaTheme="minorEastAsia" w:cstheme="minorEastAsia"/>
          <w:b/>
          <w:color w:val="auto"/>
          <w:sz w:val="24"/>
          <w:szCs w:val="24"/>
          <w:highlight w:val="none"/>
        </w:rPr>
        <w:t>将不负法律与经济责任。</w:t>
      </w:r>
    </w:p>
    <w:p w14:paraId="3E2308E4">
      <w:pPr>
        <w:keepNext w:val="0"/>
        <w:keepLines w:val="0"/>
        <w:pageBreakBefore w:val="0"/>
        <w:tabs>
          <w:tab w:val="left" w:pos="978"/>
        </w:tabs>
        <w:kinsoku/>
        <w:wordWrap/>
        <w:overflowPunct/>
        <w:topLinePunct w:val="0"/>
        <w:autoSpaceDE/>
        <w:autoSpaceDN/>
        <w:bidi w:val="0"/>
        <w:adjustRightInd/>
        <w:snapToGrid/>
        <w:spacing w:line="420" w:lineRule="exact"/>
        <w:ind w:firstLine="472" w:firstLineChars="196"/>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3、投标人若中标的，须将合同复印件和《退还投标保证金函》送至或传真至本公司财务部后方可退回投标保证金，若因材料不齐全未能及时退还投标保证金的，</w:t>
      </w:r>
      <w:r>
        <w:rPr>
          <w:rFonts w:hint="eastAsia" w:asciiTheme="minorEastAsia" w:hAnsiTheme="minorEastAsia" w:eastAsiaTheme="minorEastAsia" w:cstheme="minorEastAsia"/>
          <w:b/>
          <w:color w:val="auto"/>
          <w:sz w:val="24"/>
          <w:szCs w:val="24"/>
          <w:highlight w:val="none"/>
          <w:lang w:eastAsia="zh-CN"/>
        </w:rPr>
        <w:t>福建鼎御招标有限公司</w:t>
      </w:r>
      <w:r>
        <w:rPr>
          <w:rFonts w:hint="eastAsia" w:asciiTheme="minorEastAsia" w:hAnsiTheme="minorEastAsia" w:eastAsiaTheme="minorEastAsia" w:cstheme="minorEastAsia"/>
          <w:b/>
          <w:color w:val="auto"/>
          <w:sz w:val="24"/>
          <w:szCs w:val="24"/>
          <w:highlight w:val="none"/>
        </w:rPr>
        <w:t>将不负法律与经济责任。</w:t>
      </w:r>
    </w:p>
    <w:p w14:paraId="5D8EE52D">
      <w:pPr>
        <w:tabs>
          <w:tab w:val="left" w:pos="978"/>
        </w:tabs>
        <w:spacing w:line="400" w:lineRule="exact"/>
        <w:ind w:firstLine="411" w:firstLineChars="196"/>
        <w:rPr>
          <w:rFonts w:hint="eastAsia" w:asciiTheme="minorEastAsia" w:hAnsiTheme="minorEastAsia" w:eastAsiaTheme="minorEastAsia" w:cstheme="minorEastAsia"/>
          <w:color w:val="auto"/>
          <w:highlight w:val="none"/>
        </w:rPr>
      </w:pPr>
    </w:p>
    <w:p w14:paraId="6413F9E0">
      <w:pPr>
        <w:spacing w:line="400" w:lineRule="exact"/>
        <w:rPr>
          <w:rFonts w:hint="eastAsia" w:asciiTheme="minorEastAsia" w:hAnsiTheme="minorEastAsia" w:eastAsiaTheme="minorEastAsia" w:cstheme="minorEastAsia"/>
          <w:b/>
          <w:color w:val="auto"/>
          <w:szCs w:val="21"/>
          <w:highlight w:val="none"/>
        </w:rPr>
      </w:pPr>
    </w:p>
    <w:p w14:paraId="39CD40DC">
      <w:pPr>
        <w:spacing w:line="400" w:lineRule="exact"/>
        <w:jc w:val="center"/>
        <w:rPr>
          <w:rFonts w:hint="eastAsia" w:asciiTheme="minorEastAsia" w:hAnsiTheme="minorEastAsia" w:eastAsiaTheme="minorEastAsia" w:cstheme="minorEastAsia"/>
          <w:color w:val="auto"/>
          <w:highlight w:val="none"/>
        </w:rPr>
      </w:pPr>
    </w:p>
    <w:p w14:paraId="74A8DC2B">
      <w:pPr>
        <w:spacing w:line="400" w:lineRule="exact"/>
        <w:rPr>
          <w:rFonts w:hint="eastAsia" w:asciiTheme="minorEastAsia" w:hAnsiTheme="minorEastAsia" w:eastAsiaTheme="minorEastAsia" w:cstheme="minorEastAsia"/>
          <w:color w:val="auto"/>
          <w:highlight w:val="none"/>
        </w:rPr>
      </w:pPr>
    </w:p>
    <w:p w14:paraId="624F3748">
      <w:pPr>
        <w:spacing w:line="400" w:lineRule="exact"/>
        <w:rPr>
          <w:rFonts w:hint="eastAsia" w:asciiTheme="minorEastAsia" w:hAnsiTheme="minorEastAsia" w:eastAsiaTheme="minorEastAsia" w:cstheme="minorEastAsia"/>
          <w:color w:val="auto"/>
          <w:highlight w:val="none"/>
        </w:rPr>
      </w:pPr>
    </w:p>
    <w:p w14:paraId="0B14BF9C">
      <w:pPr>
        <w:spacing w:line="400" w:lineRule="exact"/>
        <w:rPr>
          <w:rFonts w:hint="eastAsia" w:asciiTheme="minorEastAsia" w:hAnsiTheme="minorEastAsia" w:eastAsiaTheme="minorEastAsia" w:cstheme="minorEastAsia"/>
          <w:b/>
          <w:color w:val="auto"/>
          <w:szCs w:val="21"/>
          <w:highlight w:val="none"/>
        </w:rPr>
      </w:pPr>
    </w:p>
    <w:p w14:paraId="3BBB9F11">
      <w:pPr>
        <w:spacing w:line="400" w:lineRule="exact"/>
        <w:jc w:val="center"/>
        <w:rPr>
          <w:rFonts w:hint="eastAsia" w:asciiTheme="minorEastAsia" w:hAnsiTheme="minorEastAsia" w:eastAsiaTheme="minorEastAsia" w:cstheme="minorEastAsia"/>
          <w:color w:val="auto"/>
          <w:highlight w:val="none"/>
        </w:rPr>
      </w:pPr>
    </w:p>
    <w:p w14:paraId="2CBFD3B3">
      <w:pPr>
        <w:spacing w:line="400" w:lineRule="exact"/>
        <w:rPr>
          <w:rFonts w:hint="eastAsia" w:asciiTheme="minorEastAsia" w:hAnsiTheme="minorEastAsia" w:eastAsiaTheme="minorEastAsia" w:cstheme="minorEastAsia"/>
          <w:color w:val="auto"/>
          <w:highlight w:val="none"/>
        </w:rPr>
      </w:pPr>
    </w:p>
    <w:p w14:paraId="4588FCC8">
      <w:pPr>
        <w:spacing w:line="400" w:lineRule="exact"/>
        <w:rPr>
          <w:rFonts w:hint="eastAsia" w:asciiTheme="minorEastAsia" w:hAnsiTheme="minorEastAsia" w:eastAsiaTheme="minorEastAsia" w:cstheme="minorEastAsia"/>
          <w:color w:val="auto"/>
          <w:highlight w:val="none"/>
        </w:rPr>
      </w:pPr>
    </w:p>
    <w:p w14:paraId="71256A3D">
      <w:pPr>
        <w:spacing w:line="400" w:lineRule="exact"/>
        <w:rPr>
          <w:rFonts w:hint="eastAsia" w:asciiTheme="minorEastAsia" w:hAnsiTheme="minorEastAsia" w:eastAsiaTheme="minorEastAsia" w:cstheme="minorEastAsia"/>
          <w:color w:val="auto"/>
          <w:highlight w:val="none"/>
        </w:rPr>
      </w:pPr>
    </w:p>
    <w:p w14:paraId="2A97A170">
      <w:pPr>
        <w:rPr>
          <w:rFonts w:hint="eastAsia" w:asciiTheme="minorEastAsia" w:hAnsiTheme="minorEastAsia" w:eastAsiaTheme="minorEastAsia" w:cstheme="minorEastAsia"/>
          <w:color w:val="auto"/>
          <w:highlight w:val="none"/>
        </w:rPr>
      </w:pPr>
    </w:p>
    <w:sectPr>
      <w:headerReference r:id="rId16" w:type="first"/>
      <w:footerReference r:id="rId18" w:type="first"/>
      <w:headerReference r:id="rId15" w:type="default"/>
      <w:footerReference r:id="rId17" w:type="default"/>
      <w:pgSz w:w="11907" w:h="16840"/>
      <w:pgMar w:top="992" w:right="1107" w:bottom="1049" w:left="1260" w:header="680" w:footer="68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2020603050405020304"/>
    <w:charset w:val="00"/>
    <w:family w:val="auto"/>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Univers LT Std 45 Light">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AFEF">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1600" cy="1289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28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3F49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15pt;width:8pt;mso-position-horizontal:center;mso-position-horizontal-relative:margin;z-index:251659264;mso-width-relative:page;mso-height-relative:page;" filled="f" stroked="f" coordsize="21600,21600" o:gfxdata="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9/qeNIAAAADAQAADwAAAAAAAAABACAAAAAiAAAAZHJzL2Rvd25yZXYueG1s&#10;UEsBAhQAFAAAAAgAh07iQHD79Wg3AgAAYQQAAA4AAAAAAAAAAQAgAAAAIQEAAGRycy9lMm9Eb2Mu&#10;eG1sUEsFBgAAAAAGAAYAWQEAAMoFAAAAAA==&#10;">
              <v:fill on="f" focussize="0,0"/>
              <v:stroke on="f" weight="0.5pt"/>
              <v:imagedata o:title=""/>
              <o:lock v:ext="edit" aspectratio="f"/>
              <v:textbox inset="0mm,0mm,0mm,0mm">
                <w:txbxContent>
                  <w:p w14:paraId="3FB3F49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E362">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53365" cy="1206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3365" cy="120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D749F">
                          <w:pPr>
                            <w:pStyle w:val="2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5pt;width:19.95pt;mso-position-horizontal:center;mso-position-horizontal-relative:margin;z-index:251660288;mso-width-relative:page;mso-height-relative:page;" filled="f" stroked="f" coordsize="21600,21600" o:gfxdata="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FSuTvSAAAAAwEAAA8AAAAAAAAAAQAgAAAAIgAAAGRycy9kb3ducmV2LnhtbFBL&#10;AQIUABQAAAAIAIdO4kAj3q4lNQIAAGEEAAAOAAAAAAAAAAEAIAAAACEBAABkcnMvZTJvRG9jLnht&#10;bFBLBQYAAAAABgAGAFkBAADIBQAAAAA=&#10;">
              <v:fill on="f" focussize="0,0"/>
              <v:stroke on="f" weight="0.5pt"/>
              <v:imagedata o:title=""/>
              <o:lock v:ext="edit" aspectratio="f"/>
              <v:textbox inset="0mm,0mm,0mm,0mm">
                <w:txbxContent>
                  <w:p w14:paraId="323D749F">
                    <w:pPr>
                      <w:pStyle w:val="2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A480">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85F7B">
                          <w:pPr>
                            <w:pStyle w:val="2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0285F7B">
                    <w:pPr>
                      <w:pStyle w:val="2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A38">
    <w:pPr>
      <w:pStyle w:val="20"/>
      <w:jc w:val="center"/>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5C383">
                          <w:pPr>
                            <w:pStyle w:val="2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C5C383">
                    <w:pPr>
                      <w:pStyle w:val="20"/>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lang w:val="en-US" w:eastAsia="zh-CN"/>
      </w:rP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96BD">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53365" cy="1206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3365" cy="120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98725">
                          <w:pPr>
                            <w:pStyle w:val="2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5pt;width:19.95pt;mso-position-horizontal:center;mso-position-horizontal-relative:margin;z-index:251666432;mso-width-relative:page;mso-height-relative:page;" filled="f" stroked="f" coordsize="21600,21600" o:gfxdata="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FSuTvSAAAAAwEAAA8AAAAAAAAAAQAgAAAAIgAAAGRycy9kb3ducmV2LnhtbFBL&#10;AQIUABQAAAAIAIdO4kDAy11fNQIAAGEEAAAOAAAAAAAAAAEAIAAAACEBAABkcnMvZTJvRG9jLnht&#10;bFBLBQYAAAAABgAGAFkBAADIBQAAAAA=&#10;">
              <v:fill on="f" focussize="0,0"/>
              <v:stroke on="f" weight="0.5pt"/>
              <v:imagedata o:title=""/>
              <o:lock v:ext="edit" aspectratio="f"/>
              <v:textbox inset="0mm,0mm,0mm,0mm">
                <w:txbxContent>
                  <w:p w14:paraId="62A98725">
                    <w:pPr>
                      <w:pStyle w:val="2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B538">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8275" cy="1193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8275" cy="11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DA420">
                          <w:pPr>
                            <w:pStyle w:val="2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4pt;width:13.25pt;mso-position-horizontal:center;mso-position-horizontal-relative:margin;z-index:251662336;mso-width-relative:page;mso-height-relative:page;" filled="f" stroked="f" coordsize="21600,21600" o:gfxdata="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gsdntIAAAADAQAADwAAAAAAAAABACAAAAAiAAAAZHJzL2Rvd25yZXYueG1s&#10;UEsBAhQAFAAAAAgAh07iQCAsfKc3AgAAYwQAAA4AAAAAAAAAAQAgAAAAIQEAAGRycy9lMm9Eb2Mu&#10;eG1sUEsFBgAAAAAGAAYAWQEAAMoFAAAAAA==&#10;">
              <v:fill on="f" focussize="0,0"/>
              <v:stroke on="f" weight="0.5pt"/>
              <v:imagedata o:title=""/>
              <o:lock v:ext="edit" aspectratio="f"/>
              <v:textbox inset="0mm,0mm,0mm,0mm">
                <w:txbxContent>
                  <w:p w14:paraId="61BDA420">
                    <w:pPr>
                      <w:pStyle w:val="2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B06D">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96215"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962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7F94D">
                          <w:pPr>
                            <w:pStyle w:val="20"/>
                            <w:jc w:val="cente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5.45pt;mso-position-horizontal:center;mso-position-horizontal-relative:margin;z-index:251663360;mso-width-relative:page;mso-height-relative:page;" filled="f" stroked="f" coordsize="21600,21600" o:gfxdata="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YyLr3TAAAABAEAAA8AAAAAAAAAAQAgAAAAIgAAAGRycy9kb3ducmV2Lnht&#10;bFBLAQIUABQAAAAIAIdO4kAUhfqMNwIAAGQEAAAOAAAAAAAAAAEAIAAAACIBAABkcnMvZTJvRG9j&#10;LnhtbFBLBQYAAAAABgAGAFkBAADLBQAAAAA=&#10;">
              <v:fill on="f" focussize="0,0"/>
              <v:stroke on="f" weight="0.5pt"/>
              <v:imagedata o:title=""/>
              <o:lock v:ext="edit" aspectratio="f"/>
              <v:textbox inset="0mm,0mm,0mm,0mm" style="mso-fit-shape-to-text:t;">
                <w:txbxContent>
                  <w:p w14:paraId="2167F94D">
                    <w:pPr>
                      <w:pStyle w:val="20"/>
                      <w:jc w:val="cente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1EFC">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40EF3">
                          <w:pPr>
                            <w:pStyle w:val="2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940EF3">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1F67">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C6EE9">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2C6EE9">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70CD">
    <w:pPr>
      <w:pStyle w:val="26"/>
      <w:keepNext w:val="0"/>
      <w:keepLines w:val="0"/>
      <w:widowControl/>
      <w:suppressLineNumbers w:val="0"/>
      <w:spacing w:before="75" w:beforeAutospacing="0" w:after="75" w:afterAutospacing="0"/>
      <w:ind w:right="0"/>
      <w:jc w:val="both"/>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09F7">
    <w:pPr>
      <w:pStyle w:val="22"/>
      <w:pBdr>
        <w:bottom w:val="none" w:color="auto" w:sz="0" w:space="1"/>
      </w:pBdr>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5C2E">
    <w:pPr>
      <w:pStyle w:val="26"/>
      <w:keepNext w:val="0"/>
      <w:keepLines w:val="0"/>
      <w:widowControl/>
      <w:suppressLineNumbers w:val="0"/>
      <w:spacing w:before="75" w:beforeAutospacing="0" w:after="75" w:afterAutospacing="0"/>
      <w:ind w:right="0"/>
      <w:jc w:val="both"/>
      <w:rPr>
        <w:rFonts w:hint="default" w:ascii="宋体" w:hAnsi="宋体" w:eastAsia="宋体"/>
        <w:b/>
        <w:sz w:val="21"/>
        <w:u w:val="single"/>
        <w:shd w:val="pct10" w:color="auto" w:fill="FFFFFF"/>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8248">
    <w:pPr>
      <w:pStyle w:val="22"/>
      <w:pBdr>
        <w:bottom w:val="none" w:color="auto" w:sz="0" w:space="1"/>
      </w:pBdr>
      <w:jc w:val="both"/>
      <w:rPr>
        <w:rFonts w:hint="default" w:eastAsia="宋体"/>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6306E">
    <w:pPr>
      <w:pStyle w:val="26"/>
      <w:keepNext w:val="0"/>
      <w:keepLines w:val="0"/>
      <w:widowControl/>
      <w:suppressLineNumbers w:val="0"/>
      <w:spacing w:before="75" w:beforeAutospacing="0" w:after="75" w:afterAutospacing="0"/>
      <w:ind w:right="0"/>
      <w:jc w:val="center"/>
      <w:rPr>
        <w:rFonts w:hint="default" w:ascii="宋体" w:hAnsi="宋体" w:eastAsia="宋体"/>
        <w:b/>
        <w:sz w:val="21"/>
        <w:shd w:val="pct10" w:color="auto" w:fill="FFFFFF"/>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FF48D">
    <w:pPr>
      <w:pStyle w:val="22"/>
      <w:pBdr>
        <w:bottom w:val="none" w:color="auto" w:sz="0" w:space="1"/>
      </w:pBdr>
      <w:jc w:val="both"/>
      <w:rPr>
        <w:rFonts w:hint="default" w:eastAsia="宋体"/>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EC1F">
    <w:pPr>
      <w:pStyle w:val="26"/>
      <w:keepNext w:val="0"/>
      <w:keepLines w:val="0"/>
      <w:widowControl/>
      <w:suppressLineNumbers w:val="0"/>
      <w:spacing w:before="75" w:beforeAutospacing="0" w:after="75" w:afterAutospacing="0"/>
      <w:ind w:right="0"/>
      <w:jc w:val="center"/>
      <w:rPr>
        <w:rFonts w:hint="default" w:ascii="宋体" w:hAnsi="宋体" w:eastAsia="宋体"/>
        <w:b/>
        <w:sz w:val="21"/>
        <w:shd w:val="pct10" w:color="auto" w:fill="FFFFFF"/>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35FF"/>
    <w:multiLevelType w:val="singleLevel"/>
    <w:tmpl w:val="923835FF"/>
    <w:lvl w:ilvl="0" w:tentative="0">
      <w:start w:val="1"/>
      <w:numFmt w:val="decimalFullWidth"/>
      <w:suff w:val="nothing"/>
      <w:lvlText w:val="%1、"/>
      <w:lvlJc w:val="left"/>
      <w:rPr>
        <w:rFonts w:hint="eastAsia"/>
      </w:rPr>
    </w:lvl>
  </w:abstractNum>
  <w:abstractNum w:abstractNumId="1">
    <w:nsid w:val="D7CA2B4F"/>
    <w:multiLevelType w:val="singleLevel"/>
    <w:tmpl w:val="D7CA2B4F"/>
    <w:lvl w:ilvl="0" w:tentative="0">
      <w:start w:val="4"/>
      <w:numFmt w:val="chineseCounting"/>
      <w:suff w:val="space"/>
      <w:lvlText w:val="第%1章"/>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840"/>
        </w:tabs>
        <w:ind w:left="840" w:hanging="480"/>
      </w:pPr>
      <w:rPr>
        <w:rFonts w:hint="eastAsia"/>
      </w:rPr>
    </w:lvl>
    <w:lvl w:ilvl="1" w:tentative="0">
      <w:start w:val="1"/>
      <w:numFmt w:val="lowerLetter"/>
      <w:lvlText w:val="%2)"/>
      <w:lvlJc w:val="left"/>
      <w:pPr>
        <w:tabs>
          <w:tab w:val="left" w:pos="1200"/>
        </w:tabs>
        <w:ind w:left="1200" w:hanging="420"/>
      </w:pPr>
    </w:lvl>
    <w:lvl w:ilvl="2" w:tentative="0">
      <w:start w:val="1"/>
      <w:numFmt w:val="lowerRoman"/>
      <w:pStyle w:val="79"/>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00000003"/>
    <w:multiLevelType w:val="multilevel"/>
    <w:tmpl w:val="00000003"/>
    <w:lvl w:ilvl="0" w:tentative="0">
      <w:start w:val="1"/>
      <w:numFmt w:val="decimal"/>
      <w:pStyle w:val="3"/>
      <w:suff w:val="nothing"/>
      <w:lvlText w:val="%1）"/>
      <w:lvlJc w:val="left"/>
      <w:pPr>
        <w:ind w:left="0" w:firstLine="0"/>
      </w:pPr>
      <w:rPr>
        <w:rFonts w:ascii="宋体" w:hAnsi="宋体" w:eastAsia="宋体"/>
        <w:sz w:val="24"/>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1DB71752"/>
    <w:multiLevelType w:val="singleLevel"/>
    <w:tmpl w:val="1DB71752"/>
    <w:lvl w:ilvl="0" w:tentative="0">
      <w:start w:val="5"/>
      <w:numFmt w:val="decimal"/>
      <w:suff w:val="space"/>
      <w:lvlText w:val="%1."/>
      <w:lvlJc w:val="left"/>
    </w:lvl>
  </w:abstractNum>
  <w:abstractNum w:abstractNumId="6">
    <w:nsid w:val="38A5BF7E"/>
    <w:multiLevelType w:val="singleLevel"/>
    <w:tmpl w:val="38A5BF7E"/>
    <w:lvl w:ilvl="0" w:tentative="0">
      <w:start w:val="10"/>
      <w:numFmt w:val="decimal"/>
      <w:suff w:val="space"/>
      <w:lvlText w:val="%1."/>
      <w:lvlJc w:val="left"/>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OTcyMjYwMGQ0NDhlYjE0NWU3OTZmMTE1ZDIyZjEifQ=="/>
    <w:docVar w:name="KSO_WPS_MARK_KEY" w:val="7c612c15-4ea0-4626-b1b9-b18d90cac1e6"/>
  </w:docVars>
  <w:rsids>
    <w:rsidRoot w:val="00172A27"/>
    <w:rsid w:val="000001D0"/>
    <w:rsid w:val="00001918"/>
    <w:rsid w:val="0000254A"/>
    <w:rsid w:val="00002795"/>
    <w:rsid w:val="000039DB"/>
    <w:rsid w:val="00006470"/>
    <w:rsid w:val="000068EB"/>
    <w:rsid w:val="000076C6"/>
    <w:rsid w:val="00012241"/>
    <w:rsid w:val="000134B3"/>
    <w:rsid w:val="0001377C"/>
    <w:rsid w:val="00016795"/>
    <w:rsid w:val="00016FC9"/>
    <w:rsid w:val="00017512"/>
    <w:rsid w:val="00017AB2"/>
    <w:rsid w:val="00020C56"/>
    <w:rsid w:val="00022700"/>
    <w:rsid w:val="00022E77"/>
    <w:rsid w:val="0003430D"/>
    <w:rsid w:val="00034600"/>
    <w:rsid w:val="00040EEB"/>
    <w:rsid w:val="00041A93"/>
    <w:rsid w:val="00044B2A"/>
    <w:rsid w:val="000536A2"/>
    <w:rsid w:val="00064862"/>
    <w:rsid w:val="00064C4B"/>
    <w:rsid w:val="00070367"/>
    <w:rsid w:val="00072243"/>
    <w:rsid w:val="00073C2C"/>
    <w:rsid w:val="000743F2"/>
    <w:rsid w:val="0007495A"/>
    <w:rsid w:val="00075C00"/>
    <w:rsid w:val="00083706"/>
    <w:rsid w:val="000850C9"/>
    <w:rsid w:val="0009021D"/>
    <w:rsid w:val="00093466"/>
    <w:rsid w:val="00096349"/>
    <w:rsid w:val="00096BB3"/>
    <w:rsid w:val="000970A8"/>
    <w:rsid w:val="000A4389"/>
    <w:rsid w:val="000A6672"/>
    <w:rsid w:val="000B14F4"/>
    <w:rsid w:val="000B4EDC"/>
    <w:rsid w:val="000B5D5A"/>
    <w:rsid w:val="000C404C"/>
    <w:rsid w:val="000C77D0"/>
    <w:rsid w:val="000C7A20"/>
    <w:rsid w:val="000D4BE0"/>
    <w:rsid w:val="000E2D1F"/>
    <w:rsid w:val="000E320C"/>
    <w:rsid w:val="000E4C4C"/>
    <w:rsid w:val="000E5096"/>
    <w:rsid w:val="000E532B"/>
    <w:rsid w:val="000E6BC4"/>
    <w:rsid w:val="000E73A0"/>
    <w:rsid w:val="000F00BE"/>
    <w:rsid w:val="000F357D"/>
    <w:rsid w:val="000F3780"/>
    <w:rsid w:val="00101300"/>
    <w:rsid w:val="0010161E"/>
    <w:rsid w:val="00104B4E"/>
    <w:rsid w:val="0010577A"/>
    <w:rsid w:val="00120D05"/>
    <w:rsid w:val="00122DF0"/>
    <w:rsid w:val="001249B2"/>
    <w:rsid w:val="001344F5"/>
    <w:rsid w:val="00140400"/>
    <w:rsid w:val="00141AF3"/>
    <w:rsid w:val="00142895"/>
    <w:rsid w:val="0014482F"/>
    <w:rsid w:val="00145C0F"/>
    <w:rsid w:val="001503A9"/>
    <w:rsid w:val="001511EF"/>
    <w:rsid w:val="001530F3"/>
    <w:rsid w:val="00153867"/>
    <w:rsid w:val="00160139"/>
    <w:rsid w:val="00161E27"/>
    <w:rsid w:val="00162C0B"/>
    <w:rsid w:val="00163D05"/>
    <w:rsid w:val="001675E8"/>
    <w:rsid w:val="00171102"/>
    <w:rsid w:val="00173172"/>
    <w:rsid w:val="001741E5"/>
    <w:rsid w:val="001802B4"/>
    <w:rsid w:val="00180F92"/>
    <w:rsid w:val="00185FB8"/>
    <w:rsid w:val="0018792C"/>
    <w:rsid w:val="00191E1D"/>
    <w:rsid w:val="001A2107"/>
    <w:rsid w:val="001B41F8"/>
    <w:rsid w:val="001B57F4"/>
    <w:rsid w:val="001B5C65"/>
    <w:rsid w:val="001B6EE4"/>
    <w:rsid w:val="001B7B0D"/>
    <w:rsid w:val="001C28EA"/>
    <w:rsid w:val="001D0A12"/>
    <w:rsid w:val="001D2D5F"/>
    <w:rsid w:val="001D519F"/>
    <w:rsid w:val="001E116C"/>
    <w:rsid w:val="001E1900"/>
    <w:rsid w:val="001E5046"/>
    <w:rsid w:val="001E7858"/>
    <w:rsid w:val="001E7DBA"/>
    <w:rsid w:val="001F1F27"/>
    <w:rsid w:val="002022AC"/>
    <w:rsid w:val="00202E7E"/>
    <w:rsid w:val="00204667"/>
    <w:rsid w:val="00207C88"/>
    <w:rsid w:val="002149A9"/>
    <w:rsid w:val="00215F34"/>
    <w:rsid w:val="00216E76"/>
    <w:rsid w:val="002224B0"/>
    <w:rsid w:val="00227567"/>
    <w:rsid w:val="00227EC3"/>
    <w:rsid w:val="002303D6"/>
    <w:rsid w:val="00231E2B"/>
    <w:rsid w:val="00232FDE"/>
    <w:rsid w:val="00237CF1"/>
    <w:rsid w:val="00240C64"/>
    <w:rsid w:val="00247CDC"/>
    <w:rsid w:val="00251B6E"/>
    <w:rsid w:val="002533A3"/>
    <w:rsid w:val="00256DF1"/>
    <w:rsid w:val="00267EA0"/>
    <w:rsid w:val="00275B38"/>
    <w:rsid w:val="0028003A"/>
    <w:rsid w:val="00282488"/>
    <w:rsid w:val="00282F78"/>
    <w:rsid w:val="00283FA9"/>
    <w:rsid w:val="0028433C"/>
    <w:rsid w:val="002845E3"/>
    <w:rsid w:val="00286747"/>
    <w:rsid w:val="00287C59"/>
    <w:rsid w:val="00291761"/>
    <w:rsid w:val="00293EA3"/>
    <w:rsid w:val="0029609A"/>
    <w:rsid w:val="002A0443"/>
    <w:rsid w:val="002A5C7B"/>
    <w:rsid w:val="002A6F1D"/>
    <w:rsid w:val="002B0A5F"/>
    <w:rsid w:val="002B1DCC"/>
    <w:rsid w:val="002D04DE"/>
    <w:rsid w:val="002D19CC"/>
    <w:rsid w:val="002D6B0A"/>
    <w:rsid w:val="002F0CE6"/>
    <w:rsid w:val="002F11F0"/>
    <w:rsid w:val="002F22A6"/>
    <w:rsid w:val="002F3703"/>
    <w:rsid w:val="002F39F3"/>
    <w:rsid w:val="002F3C77"/>
    <w:rsid w:val="0030065E"/>
    <w:rsid w:val="003023CE"/>
    <w:rsid w:val="00320431"/>
    <w:rsid w:val="0032286D"/>
    <w:rsid w:val="00322997"/>
    <w:rsid w:val="003279A1"/>
    <w:rsid w:val="00330429"/>
    <w:rsid w:val="003336C4"/>
    <w:rsid w:val="00336AB6"/>
    <w:rsid w:val="00340F3E"/>
    <w:rsid w:val="0034225F"/>
    <w:rsid w:val="00344691"/>
    <w:rsid w:val="0035572D"/>
    <w:rsid w:val="003578D3"/>
    <w:rsid w:val="003615D3"/>
    <w:rsid w:val="00362EA2"/>
    <w:rsid w:val="00367DF7"/>
    <w:rsid w:val="003768D7"/>
    <w:rsid w:val="00376E9D"/>
    <w:rsid w:val="00381DD7"/>
    <w:rsid w:val="00382F0B"/>
    <w:rsid w:val="003842A1"/>
    <w:rsid w:val="00385106"/>
    <w:rsid w:val="00386FFF"/>
    <w:rsid w:val="00387075"/>
    <w:rsid w:val="003878DF"/>
    <w:rsid w:val="00394E09"/>
    <w:rsid w:val="003A3E25"/>
    <w:rsid w:val="003A48DB"/>
    <w:rsid w:val="003A6436"/>
    <w:rsid w:val="003B0B79"/>
    <w:rsid w:val="003B1E33"/>
    <w:rsid w:val="003B268A"/>
    <w:rsid w:val="003C02C0"/>
    <w:rsid w:val="003C0DC9"/>
    <w:rsid w:val="003C6F95"/>
    <w:rsid w:val="003C710D"/>
    <w:rsid w:val="003D2320"/>
    <w:rsid w:val="003D497A"/>
    <w:rsid w:val="003E2F6C"/>
    <w:rsid w:val="003E4052"/>
    <w:rsid w:val="003E7D78"/>
    <w:rsid w:val="003F1B07"/>
    <w:rsid w:val="003F22F5"/>
    <w:rsid w:val="00400DF1"/>
    <w:rsid w:val="004072E0"/>
    <w:rsid w:val="00407D9C"/>
    <w:rsid w:val="00410DF3"/>
    <w:rsid w:val="00410E15"/>
    <w:rsid w:val="00421938"/>
    <w:rsid w:val="00421F10"/>
    <w:rsid w:val="004262B4"/>
    <w:rsid w:val="00427437"/>
    <w:rsid w:val="00435F83"/>
    <w:rsid w:val="004404CD"/>
    <w:rsid w:val="00445675"/>
    <w:rsid w:val="00457379"/>
    <w:rsid w:val="00460E7E"/>
    <w:rsid w:val="004622DB"/>
    <w:rsid w:val="00466D07"/>
    <w:rsid w:val="0047299A"/>
    <w:rsid w:val="004827ED"/>
    <w:rsid w:val="004839B9"/>
    <w:rsid w:val="00483D0D"/>
    <w:rsid w:val="004848AB"/>
    <w:rsid w:val="00485A8F"/>
    <w:rsid w:val="004910F9"/>
    <w:rsid w:val="00492C6D"/>
    <w:rsid w:val="00492D2A"/>
    <w:rsid w:val="00493E04"/>
    <w:rsid w:val="00494C7A"/>
    <w:rsid w:val="004953E0"/>
    <w:rsid w:val="004A2979"/>
    <w:rsid w:val="004A4BD7"/>
    <w:rsid w:val="004A6CBB"/>
    <w:rsid w:val="004B0F66"/>
    <w:rsid w:val="004B13E9"/>
    <w:rsid w:val="004B19C9"/>
    <w:rsid w:val="004B6FEA"/>
    <w:rsid w:val="004C6E6D"/>
    <w:rsid w:val="004D1DC1"/>
    <w:rsid w:val="004D23F5"/>
    <w:rsid w:val="004D64E7"/>
    <w:rsid w:val="004E592E"/>
    <w:rsid w:val="004E5AAB"/>
    <w:rsid w:val="004E7B68"/>
    <w:rsid w:val="004F76A4"/>
    <w:rsid w:val="00501055"/>
    <w:rsid w:val="00504A3A"/>
    <w:rsid w:val="00505AB1"/>
    <w:rsid w:val="00515D46"/>
    <w:rsid w:val="0052645F"/>
    <w:rsid w:val="00535A14"/>
    <w:rsid w:val="00535C69"/>
    <w:rsid w:val="00535FE0"/>
    <w:rsid w:val="0054075D"/>
    <w:rsid w:val="00541FA0"/>
    <w:rsid w:val="00543496"/>
    <w:rsid w:val="00550A70"/>
    <w:rsid w:val="00550D33"/>
    <w:rsid w:val="00554787"/>
    <w:rsid w:val="00555104"/>
    <w:rsid w:val="00561639"/>
    <w:rsid w:val="00566AC7"/>
    <w:rsid w:val="0057003D"/>
    <w:rsid w:val="0057083E"/>
    <w:rsid w:val="00571999"/>
    <w:rsid w:val="0057295E"/>
    <w:rsid w:val="005764A4"/>
    <w:rsid w:val="00591A23"/>
    <w:rsid w:val="005A4684"/>
    <w:rsid w:val="005A483F"/>
    <w:rsid w:val="005A5EAF"/>
    <w:rsid w:val="005A6AAA"/>
    <w:rsid w:val="005B06E3"/>
    <w:rsid w:val="005B4A27"/>
    <w:rsid w:val="005B6E6E"/>
    <w:rsid w:val="005C3EB4"/>
    <w:rsid w:val="005C7D75"/>
    <w:rsid w:val="005D1371"/>
    <w:rsid w:val="005D16B4"/>
    <w:rsid w:val="005D1D85"/>
    <w:rsid w:val="005D3A34"/>
    <w:rsid w:val="005D6D3E"/>
    <w:rsid w:val="005E29BA"/>
    <w:rsid w:val="005F08EB"/>
    <w:rsid w:val="005F158D"/>
    <w:rsid w:val="00602168"/>
    <w:rsid w:val="00610923"/>
    <w:rsid w:val="00611B7B"/>
    <w:rsid w:val="00612897"/>
    <w:rsid w:val="0061473B"/>
    <w:rsid w:val="00615574"/>
    <w:rsid w:val="00615B6D"/>
    <w:rsid w:val="00622E71"/>
    <w:rsid w:val="006264DF"/>
    <w:rsid w:val="00627599"/>
    <w:rsid w:val="006352F7"/>
    <w:rsid w:val="00636F4A"/>
    <w:rsid w:val="006379E1"/>
    <w:rsid w:val="006407C8"/>
    <w:rsid w:val="00640D3B"/>
    <w:rsid w:val="00641B5C"/>
    <w:rsid w:val="00654B26"/>
    <w:rsid w:val="0066527D"/>
    <w:rsid w:val="006654F2"/>
    <w:rsid w:val="0066552A"/>
    <w:rsid w:val="00665792"/>
    <w:rsid w:val="00666584"/>
    <w:rsid w:val="00671526"/>
    <w:rsid w:val="0067454D"/>
    <w:rsid w:val="0068237C"/>
    <w:rsid w:val="00683EA4"/>
    <w:rsid w:val="00690FF3"/>
    <w:rsid w:val="00697041"/>
    <w:rsid w:val="00697AAE"/>
    <w:rsid w:val="006A4598"/>
    <w:rsid w:val="006A4D52"/>
    <w:rsid w:val="006A4FE1"/>
    <w:rsid w:val="006B0A4A"/>
    <w:rsid w:val="006B431C"/>
    <w:rsid w:val="006B586C"/>
    <w:rsid w:val="006B660E"/>
    <w:rsid w:val="006C159D"/>
    <w:rsid w:val="006C2597"/>
    <w:rsid w:val="006C29C0"/>
    <w:rsid w:val="006C71E3"/>
    <w:rsid w:val="006C7547"/>
    <w:rsid w:val="006D2B75"/>
    <w:rsid w:val="006D48A5"/>
    <w:rsid w:val="006D6E6C"/>
    <w:rsid w:val="006E1083"/>
    <w:rsid w:val="006E224C"/>
    <w:rsid w:val="006E4950"/>
    <w:rsid w:val="006F1678"/>
    <w:rsid w:val="006F3ABB"/>
    <w:rsid w:val="006F4565"/>
    <w:rsid w:val="006F4CA1"/>
    <w:rsid w:val="00703F9D"/>
    <w:rsid w:val="007061E2"/>
    <w:rsid w:val="00711760"/>
    <w:rsid w:val="00712B5D"/>
    <w:rsid w:val="007204CA"/>
    <w:rsid w:val="00723BDD"/>
    <w:rsid w:val="00724210"/>
    <w:rsid w:val="00726D01"/>
    <w:rsid w:val="0073184D"/>
    <w:rsid w:val="00734DE7"/>
    <w:rsid w:val="007367EC"/>
    <w:rsid w:val="007412F9"/>
    <w:rsid w:val="00741A24"/>
    <w:rsid w:val="00745DF7"/>
    <w:rsid w:val="0074758E"/>
    <w:rsid w:val="00751D53"/>
    <w:rsid w:val="00752268"/>
    <w:rsid w:val="00753018"/>
    <w:rsid w:val="00754D62"/>
    <w:rsid w:val="00755243"/>
    <w:rsid w:val="007564DE"/>
    <w:rsid w:val="007573F1"/>
    <w:rsid w:val="0075757C"/>
    <w:rsid w:val="007602D6"/>
    <w:rsid w:val="0076550D"/>
    <w:rsid w:val="00770EE1"/>
    <w:rsid w:val="00774F3F"/>
    <w:rsid w:val="0078132C"/>
    <w:rsid w:val="00785772"/>
    <w:rsid w:val="00786822"/>
    <w:rsid w:val="007932CB"/>
    <w:rsid w:val="00796CAE"/>
    <w:rsid w:val="0079726C"/>
    <w:rsid w:val="0079771C"/>
    <w:rsid w:val="007A175A"/>
    <w:rsid w:val="007A713E"/>
    <w:rsid w:val="007B2F8D"/>
    <w:rsid w:val="007B4BB6"/>
    <w:rsid w:val="007B4F16"/>
    <w:rsid w:val="007B7060"/>
    <w:rsid w:val="007C0DBE"/>
    <w:rsid w:val="007C2A45"/>
    <w:rsid w:val="007C7A29"/>
    <w:rsid w:val="007D2E97"/>
    <w:rsid w:val="007D3983"/>
    <w:rsid w:val="007E06C7"/>
    <w:rsid w:val="007F4D45"/>
    <w:rsid w:val="008063A0"/>
    <w:rsid w:val="00806B4B"/>
    <w:rsid w:val="00810363"/>
    <w:rsid w:val="00817C76"/>
    <w:rsid w:val="00823CB7"/>
    <w:rsid w:val="00826108"/>
    <w:rsid w:val="00826FD4"/>
    <w:rsid w:val="00830B7A"/>
    <w:rsid w:val="008373FB"/>
    <w:rsid w:val="00837E15"/>
    <w:rsid w:val="00840562"/>
    <w:rsid w:val="00841827"/>
    <w:rsid w:val="008423DC"/>
    <w:rsid w:val="00842600"/>
    <w:rsid w:val="0085132B"/>
    <w:rsid w:val="008538F2"/>
    <w:rsid w:val="0086076B"/>
    <w:rsid w:val="00860F4C"/>
    <w:rsid w:val="008619FB"/>
    <w:rsid w:val="00870D1E"/>
    <w:rsid w:val="00877A84"/>
    <w:rsid w:val="00881571"/>
    <w:rsid w:val="008838D0"/>
    <w:rsid w:val="0089186F"/>
    <w:rsid w:val="008956DF"/>
    <w:rsid w:val="00897962"/>
    <w:rsid w:val="008A4602"/>
    <w:rsid w:val="008B10C7"/>
    <w:rsid w:val="008B1109"/>
    <w:rsid w:val="008B1F75"/>
    <w:rsid w:val="008B5F2E"/>
    <w:rsid w:val="008C05C8"/>
    <w:rsid w:val="008C2BB1"/>
    <w:rsid w:val="008C3643"/>
    <w:rsid w:val="008C3DC4"/>
    <w:rsid w:val="008C41E2"/>
    <w:rsid w:val="008C6299"/>
    <w:rsid w:val="008C7726"/>
    <w:rsid w:val="008D16DF"/>
    <w:rsid w:val="008D24FC"/>
    <w:rsid w:val="008D2B28"/>
    <w:rsid w:val="008D3158"/>
    <w:rsid w:val="008D3CA1"/>
    <w:rsid w:val="008E235E"/>
    <w:rsid w:val="008E4C7F"/>
    <w:rsid w:val="008E79AC"/>
    <w:rsid w:val="008F00B1"/>
    <w:rsid w:val="008F053C"/>
    <w:rsid w:val="008F17EF"/>
    <w:rsid w:val="008F1C02"/>
    <w:rsid w:val="008F56FD"/>
    <w:rsid w:val="00901239"/>
    <w:rsid w:val="0091308E"/>
    <w:rsid w:val="00914A48"/>
    <w:rsid w:val="00927ED7"/>
    <w:rsid w:val="009367F5"/>
    <w:rsid w:val="00946572"/>
    <w:rsid w:val="00952F0A"/>
    <w:rsid w:val="0095556E"/>
    <w:rsid w:val="00956A85"/>
    <w:rsid w:val="00956CBA"/>
    <w:rsid w:val="00957D77"/>
    <w:rsid w:val="0096122C"/>
    <w:rsid w:val="00961E43"/>
    <w:rsid w:val="009720AA"/>
    <w:rsid w:val="0097354D"/>
    <w:rsid w:val="009831E5"/>
    <w:rsid w:val="009855C9"/>
    <w:rsid w:val="00986417"/>
    <w:rsid w:val="00986689"/>
    <w:rsid w:val="00990C34"/>
    <w:rsid w:val="009912DD"/>
    <w:rsid w:val="009929A3"/>
    <w:rsid w:val="00993C27"/>
    <w:rsid w:val="009A0020"/>
    <w:rsid w:val="009A33D8"/>
    <w:rsid w:val="009B0056"/>
    <w:rsid w:val="009B0B55"/>
    <w:rsid w:val="009B3379"/>
    <w:rsid w:val="009C04D2"/>
    <w:rsid w:val="009C0554"/>
    <w:rsid w:val="009C3296"/>
    <w:rsid w:val="009C5CBF"/>
    <w:rsid w:val="009C6AC9"/>
    <w:rsid w:val="009D2F35"/>
    <w:rsid w:val="009D42BC"/>
    <w:rsid w:val="009D679B"/>
    <w:rsid w:val="009E6A75"/>
    <w:rsid w:val="009F075E"/>
    <w:rsid w:val="00A06573"/>
    <w:rsid w:val="00A07827"/>
    <w:rsid w:val="00A108B0"/>
    <w:rsid w:val="00A13BA9"/>
    <w:rsid w:val="00A14532"/>
    <w:rsid w:val="00A147A1"/>
    <w:rsid w:val="00A16393"/>
    <w:rsid w:val="00A2065B"/>
    <w:rsid w:val="00A227FB"/>
    <w:rsid w:val="00A241D5"/>
    <w:rsid w:val="00A26DF7"/>
    <w:rsid w:val="00A3107F"/>
    <w:rsid w:val="00A3330A"/>
    <w:rsid w:val="00A33EFA"/>
    <w:rsid w:val="00A40FB1"/>
    <w:rsid w:val="00A46850"/>
    <w:rsid w:val="00A46CC0"/>
    <w:rsid w:val="00A547EC"/>
    <w:rsid w:val="00A579FB"/>
    <w:rsid w:val="00A61F09"/>
    <w:rsid w:val="00A636D4"/>
    <w:rsid w:val="00A6522A"/>
    <w:rsid w:val="00A6558F"/>
    <w:rsid w:val="00A67B6A"/>
    <w:rsid w:val="00A67FC7"/>
    <w:rsid w:val="00A721F2"/>
    <w:rsid w:val="00A726DB"/>
    <w:rsid w:val="00A758C7"/>
    <w:rsid w:val="00A769B6"/>
    <w:rsid w:val="00A81F1C"/>
    <w:rsid w:val="00A859DD"/>
    <w:rsid w:val="00A85C85"/>
    <w:rsid w:val="00A87BED"/>
    <w:rsid w:val="00AA06D1"/>
    <w:rsid w:val="00AA74C3"/>
    <w:rsid w:val="00AB1684"/>
    <w:rsid w:val="00AB1A8E"/>
    <w:rsid w:val="00AB31DC"/>
    <w:rsid w:val="00AB31FB"/>
    <w:rsid w:val="00AB48BD"/>
    <w:rsid w:val="00AB68F5"/>
    <w:rsid w:val="00AB70C7"/>
    <w:rsid w:val="00AC3EBB"/>
    <w:rsid w:val="00AC7CCE"/>
    <w:rsid w:val="00AD37D7"/>
    <w:rsid w:val="00AD4C6D"/>
    <w:rsid w:val="00AE1852"/>
    <w:rsid w:val="00AE30B0"/>
    <w:rsid w:val="00AE418F"/>
    <w:rsid w:val="00AF1BC4"/>
    <w:rsid w:val="00AF5D1F"/>
    <w:rsid w:val="00AF5D6B"/>
    <w:rsid w:val="00AF775E"/>
    <w:rsid w:val="00B00B6F"/>
    <w:rsid w:val="00B02888"/>
    <w:rsid w:val="00B03395"/>
    <w:rsid w:val="00B04B59"/>
    <w:rsid w:val="00B069AF"/>
    <w:rsid w:val="00B06B6E"/>
    <w:rsid w:val="00B10035"/>
    <w:rsid w:val="00B1003B"/>
    <w:rsid w:val="00B14D21"/>
    <w:rsid w:val="00B170EA"/>
    <w:rsid w:val="00B31B66"/>
    <w:rsid w:val="00B343D7"/>
    <w:rsid w:val="00B376C9"/>
    <w:rsid w:val="00B43A47"/>
    <w:rsid w:val="00B43A91"/>
    <w:rsid w:val="00B46341"/>
    <w:rsid w:val="00B476CE"/>
    <w:rsid w:val="00B53873"/>
    <w:rsid w:val="00B54C8A"/>
    <w:rsid w:val="00B55A8B"/>
    <w:rsid w:val="00B6004F"/>
    <w:rsid w:val="00B61587"/>
    <w:rsid w:val="00B635F5"/>
    <w:rsid w:val="00B63BAD"/>
    <w:rsid w:val="00B65EC0"/>
    <w:rsid w:val="00B67CB7"/>
    <w:rsid w:val="00B72A3F"/>
    <w:rsid w:val="00B73F98"/>
    <w:rsid w:val="00B763C5"/>
    <w:rsid w:val="00B76C11"/>
    <w:rsid w:val="00B77431"/>
    <w:rsid w:val="00B82C59"/>
    <w:rsid w:val="00B833E0"/>
    <w:rsid w:val="00B93364"/>
    <w:rsid w:val="00B93670"/>
    <w:rsid w:val="00B959B2"/>
    <w:rsid w:val="00B9706E"/>
    <w:rsid w:val="00BA0E26"/>
    <w:rsid w:val="00BA4756"/>
    <w:rsid w:val="00BA67D9"/>
    <w:rsid w:val="00BB0CFB"/>
    <w:rsid w:val="00BB3977"/>
    <w:rsid w:val="00BB72E7"/>
    <w:rsid w:val="00BC11EA"/>
    <w:rsid w:val="00BC1A64"/>
    <w:rsid w:val="00BC33ED"/>
    <w:rsid w:val="00BC4E7C"/>
    <w:rsid w:val="00BC5DF1"/>
    <w:rsid w:val="00BC71E4"/>
    <w:rsid w:val="00BD19B2"/>
    <w:rsid w:val="00BD21EB"/>
    <w:rsid w:val="00BD3131"/>
    <w:rsid w:val="00BD6EAA"/>
    <w:rsid w:val="00BD7D3F"/>
    <w:rsid w:val="00BE73DA"/>
    <w:rsid w:val="00BE7AFE"/>
    <w:rsid w:val="00BE7C9F"/>
    <w:rsid w:val="00BF0CFE"/>
    <w:rsid w:val="00BF1585"/>
    <w:rsid w:val="00BF38F4"/>
    <w:rsid w:val="00BF4A51"/>
    <w:rsid w:val="00BF6DC4"/>
    <w:rsid w:val="00BF6E93"/>
    <w:rsid w:val="00C02AEF"/>
    <w:rsid w:val="00C05EDE"/>
    <w:rsid w:val="00C06F50"/>
    <w:rsid w:val="00C07061"/>
    <w:rsid w:val="00C13F10"/>
    <w:rsid w:val="00C14E26"/>
    <w:rsid w:val="00C21B6A"/>
    <w:rsid w:val="00C22249"/>
    <w:rsid w:val="00C22644"/>
    <w:rsid w:val="00C22FFC"/>
    <w:rsid w:val="00C268F5"/>
    <w:rsid w:val="00C33D4E"/>
    <w:rsid w:val="00C341CF"/>
    <w:rsid w:val="00C42BCB"/>
    <w:rsid w:val="00C45C9C"/>
    <w:rsid w:val="00C4684C"/>
    <w:rsid w:val="00C5657C"/>
    <w:rsid w:val="00C56BE6"/>
    <w:rsid w:val="00C57935"/>
    <w:rsid w:val="00C60E8A"/>
    <w:rsid w:val="00C6427D"/>
    <w:rsid w:val="00C674BC"/>
    <w:rsid w:val="00C67ABB"/>
    <w:rsid w:val="00C70171"/>
    <w:rsid w:val="00C71491"/>
    <w:rsid w:val="00C722BB"/>
    <w:rsid w:val="00C72E5F"/>
    <w:rsid w:val="00C7463B"/>
    <w:rsid w:val="00C74AF3"/>
    <w:rsid w:val="00C7645F"/>
    <w:rsid w:val="00C76505"/>
    <w:rsid w:val="00C80200"/>
    <w:rsid w:val="00C8133B"/>
    <w:rsid w:val="00C8206B"/>
    <w:rsid w:val="00C82268"/>
    <w:rsid w:val="00C87E1D"/>
    <w:rsid w:val="00C908B3"/>
    <w:rsid w:val="00C94651"/>
    <w:rsid w:val="00C962BF"/>
    <w:rsid w:val="00CA1415"/>
    <w:rsid w:val="00CA35A8"/>
    <w:rsid w:val="00CA4D2D"/>
    <w:rsid w:val="00CB3FC9"/>
    <w:rsid w:val="00CB550B"/>
    <w:rsid w:val="00CB6204"/>
    <w:rsid w:val="00CB6681"/>
    <w:rsid w:val="00CB68D3"/>
    <w:rsid w:val="00CC3A0A"/>
    <w:rsid w:val="00CC4175"/>
    <w:rsid w:val="00CC4C5F"/>
    <w:rsid w:val="00CC4F44"/>
    <w:rsid w:val="00CD0550"/>
    <w:rsid w:val="00CD0FF5"/>
    <w:rsid w:val="00CD16A1"/>
    <w:rsid w:val="00CD2DB8"/>
    <w:rsid w:val="00CD34BD"/>
    <w:rsid w:val="00CD3AFD"/>
    <w:rsid w:val="00CD4013"/>
    <w:rsid w:val="00CD530D"/>
    <w:rsid w:val="00CD575C"/>
    <w:rsid w:val="00CD7248"/>
    <w:rsid w:val="00CD77DF"/>
    <w:rsid w:val="00CE00B9"/>
    <w:rsid w:val="00CE1065"/>
    <w:rsid w:val="00CE4C15"/>
    <w:rsid w:val="00CF36AE"/>
    <w:rsid w:val="00CF3E8D"/>
    <w:rsid w:val="00D012B6"/>
    <w:rsid w:val="00D043BE"/>
    <w:rsid w:val="00D04D94"/>
    <w:rsid w:val="00D05F0B"/>
    <w:rsid w:val="00D062F1"/>
    <w:rsid w:val="00D11A75"/>
    <w:rsid w:val="00D14398"/>
    <w:rsid w:val="00D16EA0"/>
    <w:rsid w:val="00D215E5"/>
    <w:rsid w:val="00D23637"/>
    <w:rsid w:val="00D2491D"/>
    <w:rsid w:val="00D25C6A"/>
    <w:rsid w:val="00D3495B"/>
    <w:rsid w:val="00D35DC9"/>
    <w:rsid w:val="00D363DD"/>
    <w:rsid w:val="00D44F37"/>
    <w:rsid w:val="00D46D88"/>
    <w:rsid w:val="00D52143"/>
    <w:rsid w:val="00D545F3"/>
    <w:rsid w:val="00D613BA"/>
    <w:rsid w:val="00D63ACD"/>
    <w:rsid w:val="00D7421E"/>
    <w:rsid w:val="00D74BB3"/>
    <w:rsid w:val="00D82B41"/>
    <w:rsid w:val="00D83B88"/>
    <w:rsid w:val="00D84948"/>
    <w:rsid w:val="00D84B30"/>
    <w:rsid w:val="00D85A31"/>
    <w:rsid w:val="00D862D0"/>
    <w:rsid w:val="00D864C4"/>
    <w:rsid w:val="00D94F21"/>
    <w:rsid w:val="00DA5759"/>
    <w:rsid w:val="00DA6617"/>
    <w:rsid w:val="00DA76F5"/>
    <w:rsid w:val="00DB2FBE"/>
    <w:rsid w:val="00DB4E4E"/>
    <w:rsid w:val="00DB631E"/>
    <w:rsid w:val="00DC223E"/>
    <w:rsid w:val="00DC45D2"/>
    <w:rsid w:val="00DC4CD6"/>
    <w:rsid w:val="00DC5F3B"/>
    <w:rsid w:val="00DD02F5"/>
    <w:rsid w:val="00DD0425"/>
    <w:rsid w:val="00DD3B29"/>
    <w:rsid w:val="00DE3584"/>
    <w:rsid w:val="00DE6843"/>
    <w:rsid w:val="00DE6DA0"/>
    <w:rsid w:val="00DF4810"/>
    <w:rsid w:val="00DF6BD2"/>
    <w:rsid w:val="00DF723B"/>
    <w:rsid w:val="00DF7D24"/>
    <w:rsid w:val="00E02388"/>
    <w:rsid w:val="00E07054"/>
    <w:rsid w:val="00E07B95"/>
    <w:rsid w:val="00E1199E"/>
    <w:rsid w:val="00E16C5A"/>
    <w:rsid w:val="00E230A8"/>
    <w:rsid w:val="00E25774"/>
    <w:rsid w:val="00E31D5F"/>
    <w:rsid w:val="00E37064"/>
    <w:rsid w:val="00E40E49"/>
    <w:rsid w:val="00E41A22"/>
    <w:rsid w:val="00E44857"/>
    <w:rsid w:val="00E518C3"/>
    <w:rsid w:val="00E534A4"/>
    <w:rsid w:val="00E54C74"/>
    <w:rsid w:val="00E556A0"/>
    <w:rsid w:val="00E644B1"/>
    <w:rsid w:val="00E6457B"/>
    <w:rsid w:val="00E669B1"/>
    <w:rsid w:val="00E7123B"/>
    <w:rsid w:val="00E712CC"/>
    <w:rsid w:val="00E74D6A"/>
    <w:rsid w:val="00E77BE9"/>
    <w:rsid w:val="00E80C68"/>
    <w:rsid w:val="00E831B4"/>
    <w:rsid w:val="00E8352C"/>
    <w:rsid w:val="00E85D06"/>
    <w:rsid w:val="00E8681E"/>
    <w:rsid w:val="00E90007"/>
    <w:rsid w:val="00E900EF"/>
    <w:rsid w:val="00E90484"/>
    <w:rsid w:val="00E95133"/>
    <w:rsid w:val="00E96B55"/>
    <w:rsid w:val="00EA7EB3"/>
    <w:rsid w:val="00EB30A5"/>
    <w:rsid w:val="00EB404C"/>
    <w:rsid w:val="00EB51C0"/>
    <w:rsid w:val="00EB6099"/>
    <w:rsid w:val="00EC47DD"/>
    <w:rsid w:val="00EC51D7"/>
    <w:rsid w:val="00EC5D3B"/>
    <w:rsid w:val="00EC6D96"/>
    <w:rsid w:val="00EC7F28"/>
    <w:rsid w:val="00ED24ED"/>
    <w:rsid w:val="00ED33DE"/>
    <w:rsid w:val="00ED4B55"/>
    <w:rsid w:val="00ED6AA0"/>
    <w:rsid w:val="00ED71A0"/>
    <w:rsid w:val="00EE440B"/>
    <w:rsid w:val="00EF08EA"/>
    <w:rsid w:val="00EF1279"/>
    <w:rsid w:val="00EF2A6B"/>
    <w:rsid w:val="00EF6E5D"/>
    <w:rsid w:val="00EF72BB"/>
    <w:rsid w:val="00F03017"/>
    <w:rsid w:val="00F11257"/>
    <w:rsid w:val="00F113AD"/>
    <w:rsid w:val="00F11B3E"/>
    <w:rsid w:val="00F131F6"/>
    <w:rsid w:val="00F17564"/>
    <w:rsid w:val="00F177D1"/>
    <w:rsid w:val="00F20A63"/>
    <w:rsid w:val="00F20BD9"/>
    <w:rsid w:val="00F218D0"/>
    <w:rsid w:val="00F34CD3"/>
    <w:rsid w:val="00F4542C"/>
    <w:rsid w:val="00F51781"/>
    <w:rsid w:val="00F56EE4"/>
    <w:rsid w:val="00F57DF2"/>
    <w:rsid w:val="00F62E01"/>
    <w:rsid w:val="00F70655"/>
    <w:rsid w:val="00F72CD1"/>
    <w:rsid w:val="00F744FB"/>
    <w:rsid w:val="00F75240"/>
    <w:rsid w:val="00F77DAB"/>
    <w:rsid w:val="00F77FC6"/>
    <w:rsid w:val="00F8094F"/>
    <w:rsid w:val="00F82C92"/>
    <w:rsid w:val="00F837A2"/>
    <w:rsid w:val="00F84BF9"/>
    <w:rsid w:val="00F92B10"/>
    <w:rsid w:val="00F965A9"/>
    <w:rsid w:val="00FA00FD"/>
    <w:rsid w:val="00FA1376"/>
    <w:rsid w:val="00FA1637"/>
    <w:rsid w:val="00FA2FE2"/>
    <w:rsid w:val="00FA33AF"/>
    <w:rsid w:val="00FA3430"/>
    <w:rsid w:val="00FB0A95"/>
    <w:rsid w:val="00FB25A8"/>
    <w:rsid w:val="00FB41A4"/>
    <w:rsid w:val="00FC0BE8"/>
    <w:rsid w:val="00FC3FB3"/>
    <w:rsid w:val="00FC5D4A"/>
    <w:rsid w:val="00FD1A6D"/>
    <w:rsid w:val="00FD41F5"/>
    <w:rsid w:val="00FD4B71"/>
    <w:rsid w:val="00FE56E4"/>
    <w:rsid w:val="00FE7C6E"/>
    <w:rsid w:val="00FF2771"/>
    <w:rsid w:val="00FF33C6"/>
    <w:rsid w:val="00FF4026"/>
    <w:rsid w:val="00FF4996"/>
    <w:rsid w:val="01321C8C"/>
    <w:rsid w:val="013F16F5"/>
    <w:rsid w:val="01654CBC"/>
    <w:rsid w:val="016C23B1"/>
    <w:rsid w:val="01A54C73"/>
    <w:rsid w:val="01BB00E3"/>
    <w:rsid w:val="01E46D89"/>
    <w:rsid w:val="02003A45"/>
    <w:rsid w:val="021F4265"/>
    <w:rsid w:val="02214027"/>
    <w:rsid w:val="022D5F62"/>
    <w:rsid w:val="02511DB0"/>
    <w:rsid w:val="02836FC9"/>
    <w:rsid w:val="02A33581"/>
    <w:rsid w:val="02A87823"/>
    <w:rsid w:val="02B20C36"/>
    <w:rsid w:val="02E033FC"/>
    <w:rsid w:val="031B6740"/>
    <w:rsid w:val="031F50A0"/>
    <w:rsid w:val="033B2897"/>
    <w:rsid w:val="035F2367"/>
    <w:rsid w:val="036222E2"/>
    <w:rsid w:val="03804381"/>
    <w:rsid w:val="03876731"/>
    <w:rsid w:val="03953348"/>
    <w:rsid w:val="03966F76"/>
    <w:rsid w:val="03AD566B"/>
    <w:rsid w:val="03BF3F41"/>
    <w:rsid w:val="03DC6552"/>
    <w:rsid w:val="03F31C28"/>
    <w:rsid w:val="03FA63BB"/>
    <w:rsid w:val="04021749"/>
    <w:rsid w:val="042E0790"/>
    <w:rsid w:val="043D484D"/>
    <w:rsid w:val="044B1862"/>
    <w:rsid w:val="046A58C0"/>
    <w:rsid w:val="046F3DB5"/>
    <w:rsid w:val="047C24AB"/>
    <w:rsid w:val="04821843"/>
    <w:rsid w:val="048C3708"/>
    <w:rsid w:val="04C234D5"/>
    <w:rsid w:val="04D01DC9"/>
    <w:rsid w:val="04D92F22"/>
    <w:rsid w:val="04FA2325"/>
    <w:rsid w:val="04FD3C17"/>
    <w:rsid w:val="05160A69"/>
    <w:rsid w:val="053E2C54"/>
    <w:rsid w:val="055D480E"/>
    <w:rsid w:val="057876D8"/>
    <w:rsid w:val="057B61F4"/>
    <w:rsid w:val="05DF688A"/>
    <w:rsid w:val="06043E9E"/>
    <w:rsid w:val="063C5E0E"/>
    <w:rsid w:val="063F684B"/>
    <w:rsid w:val="06496CE0"/>
    <w:rsid w:val="064C58EF"/>
    <w:rsid w:val="069B6841"/>
    <w:rsid w:val="06D07413"/>
    <w:rsid w:val="06EA7ED6"/>
    <w:rsid w:val="06F9278D"/>
    <w:rsid w:val="076209B3"/>
    <w:rsid w:val="0773771B"/>
    <w:rsid w:val="07990616"/>
    <w:rsid w:val="07C80276"/>
    <w:rsid w:val="07FB08BD"/>
    <w:rsid w:val="085A6276"/>
    <w:rsid w:val="08A454C4"/>
    <w:rsid w:val="08B76731"/>
    <w:rsid w:val="08C4333D"/>
    <w:rsid w:val="08EF149A"/>
    <w:rsid w:val="08FA02E7"/>
    <w:rsid w:val="091531F7"/>
    <w:rsid w:val="092B02DC"/>
    <w:rsid w:val="095053E1"/>
    <w:rsid w:val="095F3DEF"/>
    <w:rsid w:val="096006B7"/>
    <w:rsid w:val="098B717E"/>
    <w:rsid w:val="09D73CBF"/>
    <w:rsid w:val="0A133BEF"/>
    <w:rsid w:val="0A1F6C61"/>
    <w:rsid w:val="0A456248"/>
    <w:rsid w:val="0A6273E5"/>
    <w:rsid w:val="0A6438E8"/>
    <w:rsid w:val="0A7B04A7"/>
    <w:rsid w:val="0AA66417"/>
    <w:rsid w:val="0AB77593"/>
    <w:rsid w:val="0ABF1F2A"/>
    <w:rsid w:val="0AE75B3C"/>
    <w:rsid w:val="0B0A14FF"/>
    <w:rsid w:val="0B1A49D7"/>
    <w:rsid w:val="0B3E5025"/>
    <w:rsid w:val="0B4E4179"/>
    <w:rsid w:val="0B4F4BA9"/>
    <w:rsid w:val="0B6E61C8"/>
    <w:rsid w:val="0B7137F3"/>
    <w:rsid w:val="0B80121A"/>
    <w:rsid w:val="0BA6470C"/>
    <w:rsid w:val="0BAA34CB"/>
    <w:rsid w:val="0BB018C9"/>
    <w:rsid w:val="0BF30382"/>
    <w:rsid w:val="0C0D6040"/>
    <w:rsid w:val="0C1171D2"/>
    <w:rsid w:val="0C2122CA"/>
    <w:rsid w:val="0C2E2E69"/>
    <w:rsid w:val="0C5B0590"/>
    <w:rsid w:val="0C6236CC"/>
    <w:rsid w:val="0C697A61"/>
    <w:rsid w:val="0C721E1F"/>
    <w:rsid w:val="0C835E99"/>
    <w:rsid w:val="0C8C2B8D"/>
    <w:rsid w:val="0CA5606E"/>
    <w:rsid w:val="0CAB36C4"/>
    <w:rsid w:val="0CDE1A4C"/>
    <w:rsid w:val="0CE11CD3"/>
    <w:rsid w:val="0CEA62A8"/>
    <w:rsid w:val="0D1529FF"/>
    <w:rsid w:val="0D2210AE"/>
    <w:rsid w:val="0D2878B8"/>
    <w:rsid w:val="0D335188"/>
    <w:rsid w:val="0D6B65B1"/>
    <w:rsid w:val="0D72661F"/>
    <w:rsid w:val="0D7A2C98"/>
    <w:rsid w:val="0D7B474B"/>
    <w:rsid w:val="0D7D4291"/>
    <w:rsid w:val="0DA67DDF"/>
    <w:rsid w:val="0DA838BA"/>
    <w:rsid w:val="0E046E9B"/>
    <w:rsid w:val="0E209F48"/>
    <w:rsid w:val="0E213AB4"/>
    <w:rsid w:val="0E4134C0"/>
    <w:rsid w:val="0E552DBD"/>
    <w:rsid w:val="0E6A6868"/>
    <w:rsid w:val="0EB73B22"/>
    <w:rsid w:val="0ECB48E9"/>
    <w:rsid w:val="0EE4616F"/>
    <w:rsid w:val="0F0B3C11"/>
    <w:rsid w:val="0F0E09E8"/>
    <w:rsid w:val="0F144A26"/>
    <w:rsid w:val="0F575002"/>
    <w:rsid w:val="0F66B5F2"/>
    <w:rsid w:val="0F6F4F5A"/>
    <w:rsid w:val="0F900A8A"/>
    <w:rsid w:val="0FA14025"/>
    <w:rsid w:val="0FA558C3"/>
    <w:rsid w:val="0FAB1D79"/>
    <w:rsid w:val="0FB11851"/>
    <w:rsid w:val="0FB82212"/>
    <w:rsid w:val="0FBA5A6A"/>
    <w:rsid w:val="0FD55D65"/>
    <w:rsid w:val="0FE6313B"/>
    <w:rsid w:val="10174DDE"/>
    <w:rsid w:val="1022608A"/>
    <w:rsid w:val="102F1671"/>
    <w:rsid w:val="10425F58"/>
    <w:rsid w:val="10661949"/>
    <w:rsid w:val="106A4466"/>
    <w:rsid w:val="10782AF8"/>
    <w:rsid w:val="108E7FAD"/>
    <w:rsid w:val="10B824CF"/>
    <w:rsid w:val="10D61E4A"/>
    <w:rsid w:val="10DC6F1B"/>
    <w:rsid w:val="10EC035B"/>
    <w:rsid w:val="111C2EA1"/>
    <w:rsid w:val="1141276F"/>
    <w:rsid w:val="115A5C85"/>
    <w:rsid w:val="115D2AA5"/>
    <w:rsid w:val="116419B2"/>
    <w:rsid w:val="11A64A8C"/>
    <w:rsid w:val="11CF36B1"/>
    <w:rsid w:val="11D73B79"/>
    <w:rsid w:val="11DB59D4"/>
    <w:rsid w:val="12037340"/>
    <w:rsid w:val="12271CAF"/>
    <w:rsid w:val="12460CF3"/>
    <w:rsid w:val="125C0BBE"/>
    <w:rsid w:val="127743F0"/>
    <w:rsid w:val="12807F8C"/>
    <w:rsid w:val="12874860"/>
    <w:rsid w:val="128F0FE8"/>
    <w:rsid w:val="12B04504"/>
    <w:rsid w:val="12B55014"/>
    <w:rsid w:val="12B80448"/>
    <w:rsid w:val="12D30EDC"/>
    <w:rsid w:val="12FA1700"/>
    <w:rsid w:val="130B409F"/>
    <w:rsid w:val="130D3C66"/>
    <w:rsid w:val="130E53E4"/>
    <w:rsid w:val="1312A125"/>
    <w:rsid w:val="132E255A"/>
    <w:rsid w:val="133E02C4"/>
    <w:rsid w:val="134E0DBD"/>
    <w:rsid w:val="135EAE24"/>
    <w:rsid w:val="13786B73"/>
    <w:rsid w:val="13897197"/>
    <w:rsid w:val="138F12B4"/>
    <w:rsid w:val="13A20C04"/>
    <w:rsid w:val="13AB2079"/>
    <w:rsid w:val="13AD5A97"/>
    <w:rsid w:val="13F837AB"/>
    <w:rsid w:val="143811B7"/>
    <w:rsid w:val="14900BB2"/>
    <w:rsid w:val="14BF1A72"/>
    <w:rsid w:val="14DB6C69"/>
    <w:rsid w:val="14E60B6A"/>
    <w:rsid w:val="150A74FF"/>
    <w:rsid w:val="15420525"/>
    <w:rsid w:val="1572143D"/>
    <w:rsid w:val="159A111B"/>
    <w:rsid w:val="15E30659"/>
    <w:rsid w:val="16037773"/>
    <w:rsid w:val="161025FE"/>
    <w:rsid w:val="166428E6"/>
    <w:rsid w:val="167211D9"/>
    <w:rsid w:val="168129A1"/>
    <w:rsid w:val="169A659D"/>
    <w:rsid w:val="16D60144"/>
    <w:rsid w:val="16FC276C"/>
    <w:rsid w:val="171D76EF"/>
    <w:rsid w:val="17206732"/>
    <w:rsid w:val="1744CB08"/>
    <w:rsid w:val="17555DB2"/>
    <w:rsid w:val="17755A66"/>
    <w:rsid w:val="177E1E32"/>
    <w:rsid w:val="17A041A6"/>
    <w:rsid w:val="17C37A24"/>
    <w:rsid w:val="17D64F6F"/>
    <w:rsid w:val="17E248AF"/>
    <w:rsid w:val="17F02787"/>
    <w:rsid w:val="181635BD"/>
    <w:rsid w:val="1819466E"/>
    <w:rsid w:val="181C6374"/>
    <w:rsid w:val="18211B99"/>
    <w:rsid w:val="18291542"/>
    <w:rsid w:val="18694EE8"/>
    <w:rsid w:val="18767A55"/>
    <w:rsid w:val="187B6904"/>
    <w:rsid w:val="18846DF6"/>
    <w:rsid w:val="18C85878"/>
    <w:rsid w:val="18D95C34"/>
    <w:rsid w:val="19070883"/>
    <w:rsid w:val="197E072F"/>
    <w:rsid w:val="19872441"/>
    <w:rsid w:val="198F0446"/>
    <w:rsid w:val="19983643"/>
    <w:rsid w:val="19AA21AB"/>
    <w:rsid w:val="19B13164"/>
    <w:rsid w:val="19E8419E"/>
    <w:rsid w:val="1A077A42"/>
    <w:rsid w:val="1A137BCF"/>
    <w:rsid w:val="1A356888"/>
    <w:rsid w:val="1A54242A"/>
    <w:rsid w:val="1AEA1AE8"/>
    <w:rsid w:val="1B1464DA"/>
    <w:rsid w:val="1B594208"/>
    <w:rsid w:val="1B6603B7"/>
    <w:rsid w:val="1B734F2C"/>
    <w:rsid w:val="1B8E4607"/>
    <w:rsid w:val="1BA21253"/>
    <w:rsid w:val="1BA33C8C"/>
    <w:rsid w:val="1BB71370"/>
    <w:rsid w:val="1BEE0093"/>
    <w:rsid w:val="1BFD6D83"/>
    <w:rsid w:val="1C2525FF"/>
    <w:rsid w:val="1C275457"/>
    <w:rsid w:val="1C2901AC"/>
    <w:rsid w:val="1C3F3FC9"/>
    <w:rsid w:val="1C586541"/>
    <w:rsid w:val="1C5F0644"/>
    <w:rsid w:val="1C8A1FE2"/>
    <w:rsid w:val="1D020FE2"/>
    <w:rsid w:val="1D1F67D0"/>
    <w:rsid w:val="1D271D66"/>
    <w:rsid w:val="1D5A03F0"/>
    <w:rsid w:val="1D5B70BE"/>
    <w:rsid w:val="1D722533"/>
    <w:rsid w:val="1D7B50AA"/>
    <w:rsid w:val="1D966C82"/>
    <w:rsid w:val="1DB57D51"/>
    <w:rsid w:val="1DCA05D4"/>
    <w:rsid w:val="1DDD3EA7"/>
    <w:rsid w:val="1DDE0ACF"/>
    <w:rsid w:val="1DE101C9"/>
    <w:rsid w:val="1DEA6F73"/>
    <w:rsid w:val="1E002DAC"/>
    <w:rsid w:val="1E262080"/>
    <w:rsid w:val="1E2F27D7"/>
    <w:rsid w:val="1E4C215D"/>
    <w:rsid w:val="1E9B2E24"/>
    <w:rsid w:val="1EAF0BB4"/>
    <w:rsid w:val="1EB0365C"/>
    <w:rsid w:val="1EF40F32"/>
    <w:rsid w:val="1F2F5FAE"/>
    <w:rsid w:val="1F460C2C"/>
    <w:rsid w:val="1F4F63FE"/>
    <w:rsid w:val="1F5B0159"/>
    <w:rsid w:val="1FC80F51"/>
    <w:rsid w:val="1FD23065"/>
    <w:rsid w:val="1FE31B93"/>
    <w:rsid w:val="1FFC6B03"/>
    <w:rsid w:val="200059F9"/>
    <w:rsid w:val="20113A0B"/>
    <w:rsid w:val="20263B42"/>
    <w:rsid w:val="202D053A"/>
    <w:rsid w:val="206226A6"/>
    <w:rsid w:val="207B17A5"/>
    <w:rsid w:val="207C52BF"/>
    <w:rsid w:val="208C6B12"/>
    <w:rsid w:val="20B8665E"/>
    <w:rsid w:val="20C928C2"/>
    <w:rsid w:val="20F81F45"/>
    <w:rsid w:val="20FC1FA7"/>
    <w:rsid w:val="20FE4950"/>
    <w:rsid w:val="21493922"/>
    <w:rsid w:val="214E3F9E"/>
    <w:rsid w:val="21533EE4"/>
    <w:rsid w:val="217D5C85"/>
    <w:rsid w:val="219675CD"/>
    <w:rsid w:val="21B03A8B"/>
    <w:rsid w:val="21B54B7D"/>
    <w:rsid w:val="21BE719F"/>
    <w:rsid w:val="21CF6CD2"/>
    <w:rsid w:val="21DE4AC1"/>
    <w:rsid w:val="21E36C06"/>
    <w:rsid w:val="21ED5D8B"/>
    <w:rsid w:val="21F17CEF"/>
    <w:rsid w:val="21FA586A"/>
    <w:rsid w:val="2200DC34"/>
    <w:rsid w:val="22433200"/>
    <w:rsid w:val="22446665"/>
    <w:rsid w:val="224D22D1"/>
    <w:rsid w:val="22AA1847"/>
    <w:rsid w:val="22B27F5C"/>
    <w:rsid w:val="22B82914"/>
    <w:rsid w:val="22D13C37"/>
    <w:rsid w:val="22D24584"/>
    <w:rsid w:val="23017B70"/>
    <w:rsid w:val="23103A2A"/>
    <w:rsid w:val="231939DC"/>
    <w:rsid w:val="23294E46"/>
    <w:rsid w:val="23433135"/>
    <w:rsid w:val="235A6963"/>
    <w:rsid w:val="23656F90"/>
    <w:rsid w:val="236A5870"/>
    <w:rsid w:val="23854ABF"/>
    <w:rsid w:val="239006C7"/>
    <w:rsid w:val="2394234C"/>
    <w:rsid w:val="239E2206"/>
    <w:rsid w:val="23A25524"/>
    <w:rsid w:val="23AD3E84"/>
    <w:rsid w:val="23E527E4"/>
    <w:rsid w:val="23E7313E"/>
    <w:rsid w:val="23F37907"/>
    <w:rsid w:val="24292AD2"/>
    <w:rsid w:val="243725D4"/>
    <w:rsid w:val="244168DA"/>
    <w:rsid w:val="2451117C"/>
    <w:rsid w:val="24701C9E"/>
    <w:rsid w:val="247418FB"/>
    <w:rsid w:val="24A87C93"/>
    <w:rsid w:val="24AB7403"/>
    <w:rsid w:val="24E95A34"/>
    <w:rsid w:val="24FE748A"/>
    <w:rsid w:val="25056E93"/>
    <w:rsid w:val="256B21AD"/>
    <w:rsid w:val="25A823FF"/>
    <w:rsid w:val="25A86641"/>
    <w:rsid w:val="25CA2CC2"/>
    <w:rsid w:val="25CF0961"/>
    <w:rsid w:val="25F129DD"/>
    <w:rsid w:val="26064C71"/>
    <w:rsid w:val="26150B3A"/>
    <w:rsid w:val="261D40C1"/>
    <w:rsid w:val="2624577F"/>
    <w:rsid w:val="262A7060"/>
    <w:rsid w:val="262B54C3"/>
    <w:rsid w:val="264C3CD6"/>
    <w:rsid w:val="265359DC"/>
    <w:rsid w:val="266446CB"/>
    <w:rsid w:val="267E6068"/>
    <w:rsid w:val="26A60202"/>
    <w:rsid w:val="26B36DD9"/>
    <w:rsid w:val="26C62C75"/>
    <w:rsid w:val="26FC09FF"/>
    <w:rsid w:val="26FC6512"/>
    <w:rsid w:val="26FC6F52"/>
    <w:rsid w:val="27615C57"/>
    <w:rsid w:val="276A683A"/>
    <w:rsid w:val="27AB475F"/>
    <w:rsid w:val="27C60B5C"/>
    <w:rsid w:val="28394901"/>
    <w:rsid w:val="283C18AA"/>
    <w:rsid w:val="286C5BD9"/>
    <w:rsid w:val="287473D0"/>
    <w:rsid w:val="287A3B44"/>
    <w:rsid w:val="288527C5"/>
    <w:rsid w:val="28861A79"/>
    <w:rsid w:val="2897196C"/>
    <w:rsid w:val="28A86939"/>
    <w:rsid w:val="28BE02B6"/>
    <w:rsid w:val="28CFE841"/>
    <w:rsid w:val="28D12632"/>
    <w:rsid w:val="28DB7E22"/>
    <w:rsid w:val="29244525"/>
    <w:rsid w:val="294E0E09"/>
    <w:rsid w:val="29780915"/>
    <w:rsid w:val="2982166C"/>
    <w:rsid w:val="29982084"/>
    <w:rsid w:val="29E0391F"/>
    <w:rsid w:val="29F43613"/>
    <w:rsid w:val="2A027117"/>
    <w:rsid w:val="2A2102CB"/>
    <w:rsid w:val="2A2D5B4A"/>
    <w:rsid w:val="2A4D44A7"/>
    <w:rsid w:val="2A8B094E"/>
    <w:rsid w:val="2AA12056"/>
    <w:rsid w:val="2AC829E8"/>
    <w:rsid w:val="2B2E78DD"/>
    <w:rsid w:val="2B5F2B79"/>
    <w:rsid w:val="2B68186D"/>
    <w:rsid w:val="2B961213"/>
    <w:rsid w:val="2B9B27DC"/>
    <w:rsid w:val="2BB93440"/>
    <w:rsid w:val="2BBF5491"/>
    <w:rsid w:val="2BCC6C9F"/>
    <w:rsid w:val="2C2861D1"/>
    <w:rsid w:val="2C5A1872"/>
    <w:rsid w:val="2C622E1D"/>
    <w:rsid w:val="2C81759C"/>
    <w:rsid w:val="2C870FE6"/>
    <w:rsid w:val="2C8A1D4F"/>
    <w:rsid w:val="2CB03B88"/>
    <w:rsid w:val="2CB216AE"/>
    <w:rsid w:val="2CBC1EFD"/>
    <w:rsid w:val="2CBF2D1A"/>
    <w:rsid w:val="2CC42E48"/>
    <w:rsid w:val="2CCE400E"/>
    <w:rsid w:val="2CD439FA"/>
    <w:rsid w:val="2CE00F1B"/>
    <w:rsid w:val="2CEC2542"/>
    <w:rsid w:val="2CED601B"/>
    <w:rsid w:val="2D1C2FCC"/>
    <w:rsid w:val="2D1F76ED"/>
    <w:rsid w:val="2D257997"/>
    <w:rsid w:val="2D2C081A"/>
    <w:rsid w:val="2D386DBD"/>
    <w:rsid w:val="2D72A41D"/>
    <w:rsid w:val="2D7C1CBC"/>
    <w:rsid w:val="2D876F7E"/>
    <w:rsid w:val="2D915E7C"/>
    <w:rsid w:val="2D992479"/>
    <w:rsid w:val="2DA60AE7"/>
    <w:rsid w:val="2DAD7F62"/>
    <w:rsid w:val="2DDE305F"/>
    <w:rsid w:val="2E057CB9"/>
    <w:rsid w:val="2E1A575D"/>
    <w:rsid w:val="2E2736CE"/>
    <w:rsid w:val="2E415B08"/>
    <w:rsid w:val="2E425D30"/>
    <w:rsid w:val="2E4C7115"/>
    <w:rsid w:val="2E570D58"/>
    <w:rsid w:val="2E6305ED"/>
    <w:rsid w:val="2E84261E"/>
    <w:rsid w:val="2E8E491E"/>
    <w:rsid w:val="2E9F4A80"/>
    <w:rsid w:val="2EA124CE"/>
    <w:rsid w:val="2EA44771"/>
    <w:rsid w:val="2EE50403"/>
    <w:rsid w:val="2EF20CCE"/>
    <w:rsid w:val="2F0A6E6A"/>
    <w:rsid w:val="2F1377B3"/>
    <w:rsid w:val="2F2B0A44"/>
    <w:rsid w:val="2F756959"/>
    <w:rsid w:val="2FA472B6"/>
    <w:rsid w:val="2FCE518B"/>
    <w:rsid w:val="2FF505CA"/>
    <w:rsid w:val="2FF676D8"/>
    <w:rsid w:val="30154C6A"/>
    <w:rsid w:val="302D268B"/>
    <w:rsid w:val="303E4D2C"/>
    <w:rsid w:val="303F6385"/>
    <w:rsid w:val="304D279E"/>
    <w:rsid w:val="304D782A"/>
    <w:rsid w:val="307F49D9"/>
    <w:rsid w:val="30913ECE"/>
    <w:rsid w:val="309903D7"/>
    <w:rsid w:val="30CA2DDC"/>
    <w:rsid w:val="30CB0E45"/>
    <w:rsid w:val="30ED1DFD"/>
    <w:rsid w:val="30F837DB"/>
    <w:rsid w:val="31054351"/>
    <w:rsid w:val="3117230E"/>
    <w:rsid w:val="31365E3C"/>
    <w:rsid w:val="316227FB"/>
    <w:rsid w:val="317F35DC"/>
    <w:rsid w:val="318C17A7"/>
    <w:rsid w:val="31B307AB"/>
    <w:rsid w:val="31D601CE"/>
    <w:rsid w:val="31F52018"/>
    <w:rsid w:val="32163C0F"/>
    <w:rsid w:val="323C3E6D"/>
    <w:rsid w:val="323E678F"/>
    <w:rsid w:val="324149CB"/>
    <w:rsid w:val="32824DC3"/>
    <w:rsid w:val="3299482D"/>
    <w:rsid w:val="32C62A22"/>
    <w:rsid w:val="32DA54BB"/>
    <w:rsid w:val="32E136EA"/>
    <w:rsid w:val="32E511FD"/>
    <w:rsid w:val="32E8476B"/>
    <w:rsid w:val="32F36BC4"/>
    <w:rsid w:val="32F6606D"/>
    <w:rsid w:val="3309399A"/>
    <w:rsid w:val="33211AB2"/>
    <w:rsid w:val="3373762C"/>
    <w:rsid w:val="33A04957"/>
    <w:rsid w:val="33B30447"/>
    <w:rsid w:val="33D14822"/>
    <w:rsid w:val="33F514B5"/>
    <w:rsid w:val="33F6464E"/>
    <w:rsid w:val="34184171"/>
    <w:rsid w:val="342E1F62"/>
    <w:rsid w:val="343129A9"/>
    <w:rsid w:val="34583B6D"/>
    <w:rsid w:val="348516BF"/>
    <w:rsid w:val="34944FEB"/>
    <w:rsid w:val="34DD7985"/>
    <w:rsid w:val="34E24D16"/>
    <w:rsid w:val="351D4FFA"/>
    <w:rsid w:val="3529619A"/>
    <w:rsid w:val="35493B02"/>
    <w:rsid w:val="35740699"/>
    <w:rsid w:val="359E7E55"/>
    <w:rsid w:val="35BA5002"/>
    <w:rsid w:val="35F45F78"/>
    <w:rsid w:val="360D204B"/>
    <w:rsid w:val="36224E73"/>
    <w:rsid w:val="36306449"/>
    <w:rsid w:val="36306FC2"/>
    <w:rsid w:val="363E6A03"/>
    <w:rsid w:val="36661A49"/>
    <w:rsid w:val="367F1408"/>
    <w:rsid w:val="368C2A1A"/>
    <w:rsid w:val="3693633F"/>
    <w:rsid w:val="36A050BD"/>
    <w:rsid w:val="36EB1F31"/>
    <w:rsid w:val="37163A9E"/>
    <w:rsid w:val="37249F20"/>
    <w:rsid w:val="374374B3"/>
    <w:rsid w:val="374608FB"/>
    <w:rsid w:val="37667EBB"/>
    <w:rsid w:val="378D1EEE"/>
    <w:rsid w:val="37947B1E"/>
    <w:rsid w:val="37991B5D"/>
    <w:rsid w:val="37992B44"/>
    <w:rsid w:val="379E165D"/>
    <w:rsid w:val="37A80FC8"/>
    <w:rsid w:val="384A522A"/>
    <w:rsid w:val="38591008"/>
    <w:rsid w:val="38877E93"/>
    <w:rsid w:val="388B724B"/>
    <w:rsid w:val="389600EE"/>
    <w:rsid w:val="38A72BD1"/>
    <w:rsid w:val="38B970D7"/>
    <w:rsid w:val="38C511CD"/>
    <w:rsid w:val="3935361A"/>
    <w:rsid w:val="39383A5F"/>
    <w:rsid w:val="39723257"/>
    <w:rsid w:val="39AA1EC1"/>
    <w:rsid w:val="39DD7589"/>
    <w:rsid w:val="3A5C7ED6"/>
    <w:rsid w:val="3A884218"/>
    <w:rsid w:val="3A8B1791"/>
    <w:rsid w:val="3A9010D0"/>
    <w:rsid w:val="3AB96BB6"/>
    <w:rsid w:val="3AC03157"/>
    <w:rsid w:val="3AC84A04"/>
    <w:rsid w:val="3B46198A"/>
    <w:rsid w:val="3B485977"/>
    <w:rsid w:val="3B734008"/>
    <w:rsid w:val="3B915D38"/>
    <w:rsid w:val="3B9E3AD9"/>
    <w:rsid w:val="3BBC3CEC"/>
    <w:rsid w:val="3BE30D28"/>
    <w:rsid w:val="3BF23F9A"/>
    <w:rsid w:val="3BFC0682"/>
    <w:rsid w:val="3C0C6A23"/>
    <w:rsid w:val="3C0D5D14"/>
    <w:rsid w:val="3C543A90"/>
    <w:rsid w:val="3C6E5546"/>
    <w:rsid w:val="3C8316F4"/>
    <w:rsid w:val="3C894C6B"/>
    <w:rsid w:val="3C8A2526"/>
    <w:rsid w:val="3C934EEE"/>
    <w:rsid w:val="3C9351A4"/>
    <w:rsid w:val="3CC56DE9"/>
    <w:rsid w:val="3CE21B3C"/>
    <w:rsid w:val="3CE4054E"/>
    <w:rsid w:val="3CE506B4"/>
    <w:rsid w:val="3D0D46DF"/>
    <w:rsid w:val="3D232155"/>
    <w:rsid w:val="3D2F27E0"/>
    <w:rsid w:val="3D57071B"/>
    <w:rsid w:val="3D62439F"/>
    <w:rsid w:val="3D627787"/>
    <w:rsid w:val="3D6B492F"/>
    <w:rsid w:val="3D7A277E"/>
    <w:rsid w:val="3D845B43"/>
    <w:rsid w:val="3D964ECF"/>
    <w:rsid w:val="3DA771B4"/>
    <w:rsid w:val="3DC62B7F"/>
    <w:rsid w:val="3DD64FD7"/>
    <w:rsid w:val="3DE27F7F"/>
    <w:rsid w:val="3DE963A9"/>
    <w:rsid w:val="3E1C6553"/>
    <w:rsid w:val="3E1E38E5"/>
    <w:rsid w:val="3E5462EE"/>
    <w:rsid w:val="3EA6693C"/>
    <w:rsid w:val="3ED37105"/>
    <w:rsid w:val="3EE85616"/>
    <w:rsid w:val="3F05306B"/>
    <w:rsid w:val="3F062370"/>
    <w:rsid w:val="3F4800B5"/>
    <w:rsid w:val="3F617A68"/>
    <w:rsid w:val="3F8A6ED7"/>
    <w:rsid w:val="3F915AA8"/>
    <w:rsid w:val="3FD04870"/>
    <w:rsid w:val="3FF75D0C"/>
    <w:rsid w:val="40006DAC"/>
    <w:rsid w:val="401D76E7"/>
    <w:rsid w:val="402204A1"/>
    <w:rsid w:val="403267F9"/>
    <w:rsid w:val="404E31E7"/>
    <w:rsid w:val="406E3EA2"/>
    <w:rsid w:val="408219EA"/>
    <w:rsid w:val="40887243"/>
    <w:rsid w:val="40AC32CF"/>
    <w:rsid w:val="40C9530E"/>
    <w:rsid w:val="40F52927"/>
    <w:rsid w:val="4105404B"/>
    <w:rsid w:val="410E4D83"/>
    <w:rsid w:val="413A7364"/>
    <w:rsid w:val="415A36BD"/>
    <w:rsid w:val="415B5CF0"/>
    <w:rsid w:val="417461E5"/>
    <w:rsid w:val="4190485B"/>
    <w:rsid w:val="41941A91"/>
    <w:rsid w:val="41C07E40"/>
    <w:rsid w:val="41C73ADA"/>
    <w:rsid w:val="41C766EF"/>
    <w:rsid w:val="41D960CF"/>
    <w:rsid w:val="41DD13CA"/>
    <w:rsid w:val="41E3445B"/>
    <w:rsid w:val="42046894"/>
    <w:rsid w:val="42165E08"/>
    <w:rsid w:val="42286A6B"/>
    <w:rsid w:val="422A15F8"/>
    <w:rsid w:val="422D13BB"/>
    <w:rsid w:val="423F1446"/>
    <w:rsid w:val="424E1A22"/>
    <w:rsid w:val="42957E13"/>
    <w:rsid w:val="430B6C41"/>
    <w:rsid w:val="431A3E10"/>
    <w:rsid w:val="433D6BF4"/>
    <w:rsid w:val="43634CA8"/>
    <w:rsid w:val="43634D1E"/>
    <w:rsid w:val="436D61BB"/>
    <w:rsid w:val="43793C4F"/>
    <w:rsid w:val="43A77F8D"/>
    <w:rsid w:val="43F16B09"/>
    <w:rsid w:val="43FA6A7F"/>
    <w:rsid w:val="43FE4D82"/>
    <w:rsid w:val="440426ED"/>
    <w:rsid w:val="442761FB"/>
    <w:rsid w:val="445E69A3"/>
    <w:rsid w:val="447676E6"/>
    <w:rsid w:val="44A217E7"/>
    <w:rsid w:val="44A642C6"/>
    <w:rsid w:val="44BD22DD"/>
    <w:rsid w:val="44F455E5"/>
    <w:rsid w:val="44FC6B77"/>
    <w:rsid w:val="45002DCB"/>
    <w:rsid w:val="450C3AA0"/>
    <w:rsid w:val="45111EE8"/>
    <w:rsid w:val="456343B3"/>
    <w:rsid w:val="45686B87"/>
    <w:rsid w:val="458148E5"/>
    <w:rsid w:val="45887608"/>
    <w:rsid w:val="45907A8C"/>
    <w:rsid w:val="45921C25"/>
    <w:rsid w:val="4593512E"/>
    <w:rsid w:val="45A23050"/>
    <w:rsid w:val="45AE6C86"/>
    <w:rsid w:val="45B2506E"/>
    <w:rsid w:val="45D22FBD"/>
    <w:rsid w:val="45F12D3D"/>
    <w:rsid w:val="460208A3"/>
    <w:rsid w:val="46223A6B"/>
    <w:rsid w:val="46247D62"/>
    <w:rsid w:val="46384CA2"/>
    <w:rsid w:val="463E0C9D"/>
    <w:rsid w:val="468C7978"/>
    <w:rsid w:val="46967004"/>
    <w:rsid w:val="46981543"/>
    <w:rsid w:val="46CD391E"/>
    <w:rsid w:val="470E1274"/>
    <w:rsid w:val="474D5D6B"/>
    <w:rsid w:val="4766BEDA"/>
    <w:rsid w:val="476E221E"/>
    <w:rsid w:val="478E13B2"/>
    <w:rsid w:val="47935648"/>
    <w:rsid w:val="480C6685"/>
    <w:rsid w:val="482B0E78"/>
    <w:rsid w:val="484164FB"/>
    <w:rsid w:val="48555179"/>
    <w:rsid w:val="485F203A"/>
    <w:rsid w:val="48704C4A"/>
    <w:rsid w:val="48E03BD9"/>
    <w:rsid w:val="48FF3E1F"/>
    <w:rsid w:val="49063C4F"/>
    <w:rsid w:val="49123800"/>
    <w:rsid w:val="4922122C"/>
    <w:rsid w:val="493F0316"/>
    <w:rsid w:val="49402B84"/>
    <w:rsid w:val="49480237"/>
    <w:rsid w:val="497875DC"/>
    <w:rsid w:val="4982759D"/>
    <w:rsid w:val="498C7779"/>
    <w:rsid w:val="49CF4508"/>
    <w:rsid w:val="49E30CA1"/>
    <w:rsid w:val="49ED4470"/>
    <w:rsid w:val="4A063DC6"/>
    <w:rsid w:val="4A114BBD"/>
    <w:rsid w:val="4A2A1692"/>
    <w:rsid w:val="4A2B7483"/>
    <w:rsid w:val="4A69270B"/>
    <w:rsid w:val="4A7638C4"/>
    <w:rsid w:val="4A817DD7"/>
    <w:rsid w:val="4A9B45E3"/>
    <w:rsid w:val="4AE50CFB"/>
    <w:rsid w:val="4AE72A13"/>
    <w:rsid w:val="4AE86741"/>
    <w:rsid w:val="4B02338F"/>
    <w:rsid w:val="4B4E24E9"/>
    <w:rsid w:val="4B774F99"/>
    <w:rsid w:val="4B7A6D40"/>
    <w:rsid w:val="4B9A5B56"/>
    <w:rsid w:val="4BA36F1B"/>
    <w:rsid w:val="4BBD544B"/>
    <w:rsid w:val="4BC93EC7"/>
    <w:rsid w:val="4C0D4CA5"/>
    <w:rsid w:val="4C141014"/>
    <w:rsid w:val="4C2A0BB5"/>
    <w:rsid w:val="4C7724A7"/>
    <w:rsid w:val="4C8A07BA"/>
    <w:rsid w:val="4C90082C"/>
    <w:rsid w:val="4CB54C05"/>
    <w:rsid w:val="4CE21DC2"/>
    <w:rsid w:val="4CF03284"/>
    <w:rsid w:val="4D1A0131"/>
    <w:rsid w:val="4D252B05"/>
    <w:rsid w:val="4D444D9E"/>
    <w:rsid w:val="4D57772F"/>
    <w:rsid w:val="4D5B1801"/>
    <w:rsid w:val="4DA376C8"/>
    <w:rsid w:val="4DC332C4"/>
    <w:rsid w:val="4DF27705"/>
    <w:rsid w:val="4E365668"/>
    <w:rsid w:val="4E882D2E"/>
    <w:rsid w:val="4E88717E"/>
    <w:rsid w:val="4E8A75EA"/>
    <w:rsid w:val="4E953685"/>
    <w:rsid w:val="4EBB3F9B"/>
    <w:rsid w:val="4EBE57C9"/>
    <w:rsid w:val="4EC6041E"/>
    <w:rsid w:val="4ECC517D"/>
    <w:rsid w:val="4EE94FAC"/>
    <w:rsid w:val="4EEA6B55"/>
    <w:rsid w:val="4F061C79"/>
    <w:rsid w:val="4F0911AA"/>
    <w:rsid w:val="4F1A1801"/>
    <w:rsid w:val="4F255CFE"/>
    <w:rsid w:val="4F3831BA"/>
    <w:rsid w:val="4F69256F"/>
    <w:rsid w:val="4F742B30"/>
    <w:rsid w:val="4F752880"/>
    <w:rsid w:val="4F795A4A"/>
    <w:rsid w:val="4F923404"/>
    <w:rsid w:val="4FB62906"/>
    <w:rsid w:val="4FC43BF8"/>
    <w:rsid w:val="4FDA5FD3"/>
    <w:rsid w:val="5011538F"/>
    <w:rsid w:val="50697A27"/>
    <w:rsid w:val="50746CD9"/>
    <w:rsid w:val="508F219D"/>
    <w:rsid w:val="50A317CE"/>
    <w:rsid w:val="51022209"/>
    <w:rsid w:val="5107061E"/>
    <w:rsid w:val="51AC5235"/>
    <w:rsid w:val="51AD2F24"/>
    <w:rsid w:val="51C706E3"/>
    <w:rsid w:val="522859F1"/>
    <w:rsid w:val="527D5CD5"/>
    <w:rsid w:val="528F4164"/>
    <w:rsid w:val="52AE4350"/>
    <w:rsid w:val="52B43FD4"/>
    <w:rsid w:val="52B72EAC"/>
    <w:rsid w:val="538018A8"/>
    <w:rsid w:val="53992CC8"/>
    <w:rsid w:val="539E44F8"/>
    <w:rsid w:val="53A00DB9"/>
    <w:rsid w:val="53A06860"/>
    <w:rsid w:val="53D0277D"/>
    <w:rsid w:val="53EDDE28"/>
    <w:rsid w:val="53F26D05"/>
    <w:rsid w:val="5401553D"/>
    <w:rsid w:val="5459012C"/>
    <w:rsid w:val="546665F6"/>
    <w:rsid w:val="54715DCF"/>
    <w:rsid w:val="54792DC6"/>
    <w:rsid w:val="54857525"/>
    <w:rsid w:val="548E4459"/>
    <w:rsid w:val="54E1D49F"/>
    <w:rsid w:val="54FB450B"/>
    <w:rsid w:val="55064D42"/>
    <w:rsid w:val="550D0F75"/>
    <w:rsid w:val="55217858"/>
    <w:rsid w:val="552C2BB8"/>
    <w:rsid w:val="55347F48"/>
    <w:rsid w:val="553B7A39"/>
    <w:rsid w:val="553BE8BE"/>
    <w:rsid w:val="553E670D"/>
    <w:rsid w:val="557B70BC"/>
    <w:rsid w:val="558F66E3"/>
    <w:rsid w:val="55A33E57"/>
    <w:rsid w:val="55BC062E"/>
    <w:rsid w:val="55C09CB3"/>
    <w:rsid w:val="55D45328"/>
    <w:rsid w:val="55D6D96E"/>
    <w:rsid w:val="55E67591"/>
    <w:rsid w:val="56102E1E"/>
    <w:rsid w:val="562410EA"/>
    <w:rsid w:val="564C1D62"/>
    <w:rsid w:val="566E7E18"/>
    <w:rsid w:val="56707D61"/>
    <w:rsid w:val="567C24C2"/>
    <w:rsid w:val="568E6439"/>
    <w:rsid w:val="56966AD3"/>
    <w:rsid w:val="569B792B"/>
    <w:rsid w:val="56BC5156"/>
    <w:rsid w:val="56DA14BA"/>
    <w:rsid w:val="570D55B0"/>
    <w:rsid w:val="57245970"/>
    <w:rsid w:val="57414CB0"/>
    <w:rsid w:val="574433AD"/>
    <w:rsid w:val="57461E0A"/>
    <w:rsid w:val="57745F5C"/>
    <w:rsid w:val="57B60562"/>
    <w:rsid w:val="57CC7B92"/>
    <w:rsid w:val="57F61877"/>
    <w:rsid w:val="580D7A8E"/>
    <w:rsid w:val="584B10F7"/>
    <w:rsid w:val="585F5D68"/>
    <w:rsid w:val="588C4D39"/>
    <w:rsid w:val="58931A89"/>
    <w:rsid w:val="58D92C91"/>
    <w:rsid w:val="58E63C3C"/>
    <w:rsid w:val="590948AC"/>
    <w:rsid w:val="592A027B"/>
    <w:rsid w:val="5931445C"/>
    <w:rsid w:val="595924F8"/>
    <w:rsid w:val="598C3C86"/>
    <w:rsid w:val="59E0428F"/>
    <w:rsid w:val="5A010FCF"/>
    <w:rsid w:val="5A0B4DB3"/>
    <w:rsid w:val="5A126ACB"/>
    <w:rsid w:val="5A181AF3"/>
    <w:rsid w:val="5A1D3DD1"/>
    <w:rsid w:val="5A376646"/>
    <w:rsid w:val="5A386DE8"/>
    <w:rsid w:val="5A736BC9"/>
    <w:rsid w:val="5A7A34F3"/>
    <w:rsid w:val="5AA04E70"/>
    <w:rsid w:val="5ACC7530"/>
    <w:rsid w:val="5B0B44FC"/>
    <w:rsid w:val="5B0C6033"/>
    <w:rsid w:val="5B167F4B"/>
    <w:rsid w:val="5B232729"/>
    <w:rsid w:val="5B2C461A"/>
    <w:rsid w:val="5B342100"/>
    <w:rsid w:val="5B4263AA"/>
    <w:rsid w:val="5B4524B8"/>
    <w:rsid w:val="5B634BD5"/>
    <w:rsid w:val="5B9F4429"/>
    <w:rsid w:val="5BA12BCF"/>
    <w:rsid w:val="5BA20BD4"/>
    <w:rsid w:val="5BB46942"/>
    <w:rsid w:val="5BCA3E9A"/>
    <w:rsid w:val="5BDC2F2E"/>
    <w:rsid w:val="5C252577"/>
    <w:rsid w:val="5C2E4B34"/>
    <w:rsid w:val="5C2F7E2D"/>
    <w:rsid w:val="5C341D64"/>
    <w:rsid w:val="5C38302B"/>
    <w:rsid w:val="5C526EBA"/>
    <w:rsid w:val="5C7C1DCC"/>
    <w:rsid w:val="5C8D5E50"/>
    <w:rsid w:val="5C991DD1"/>
    <w:rsid w:val="5CB36BF9"/>
    <w:rsid w:val="5CC2508E"/>
    <w:rsid w:val="5CFF14D8"/>
    <w:rsid w:val="5D163533"/>
    <w:rsid w:val="5D204D9E"/>
    <w:rsid w:val="5D5D0DF5"/>
    <w:rsid w:val="5D5E268C"/>
    <w:rsid w:val="5D707E3D"/>
    <w:rsid w:val="5D807599"/>
    <w:rsid w:val="5DE62F5C"/>
    <w:rsid w:val="5DF33A06"/>
    <w:rsid w:val="5E6E1E53"/>
    <w:rsid w:val="5EAC04E9"/>
    <w:rsid w:val="5EB00F75"/>
    <w:rsid w:val="5EDC4049"/>
    <w:rsid w:val="5EE41E0B"/>
    <w:rsid w:val="5EFA27D2"/>
    <w:rsid w:val="5F0D5C1E"/>
    <w:rsid w:val="5F4E5945"/>
    <w:rsid w:val="5F8811CD"/>
    <w:rsid w:val="5F903E25"/>
    <w:rsid w:val="5FE36BF6"/>
    <w:rsid w:val="5FF54EAC"/>
    <w:rsid w:val="60052A9E"/>
    <w:rsid w:val="600A7A24"/>
    <w:rsid w:val="60217FEE"/>
    <w:rsid w:val="60355154"/>
    <w:rsid w:val="60592DE5"/>
    <w:rsid w:val="60822B6A"/>
    <w:rsid w:val="60AE3960"/>
    <w:rsid w:val="60C41052"/>
    <w:rsid w:val="60E02CC9"/>
    <w:rsid w:val="60FF41B9"/>
    <w:rsid w:val="61060EE8"/>
    <w:rsid w:val="613D17A5"/>
    <w:rsid w:val="615C3AC5"/>
    <w:rsid w:val="61A15AF0"/>
    <w:rsid w:val="61A54581"/>
    <w:rsid w:val="61B52BB6"/>
    <w:rsid w:val="6212279B"/>
    <w:rsid w:val="621A6DD3"/>
    <w:rsid w:val="62337403"/>
    <w:rsid w:val="624D129C"/>
    <w:rsid w:val="624E3FF0"/>
    <w:rsid w:val="62612CA3"/>
    <w:rsid w:val="628D5A79"/>
    <w:rsid w:val="62A501F1"/>
    <w:rsid w:val="62DC41A8"/>
    <w:rsid w:val="62E56574"/>
    <w:rsid w:val="63035F01"/>
    <w:rsid w:val="632B74E9"/>
    <w:rsid w:val="63566BBB"/>
    <w:rsid w:val="63655458"/>
    <w:rsid w:val="63675694"/>
    <w:rsid w:val="63720EC9"/>
    <w:rsid w:val="638E18DA"/>
    <w:rsid w:val="6395379D"/>
    <w:rsid w:val="63AB49AA"/>
    <w:rsid w:val="64146821"/>
    <w:rsid w:val="6416755B"/>
    <w:rsid w:val="641F5987"/>
    <w:rsid w:val="643C5350"/>
    <w:rsid w:val="6460439E"/>
    <w:rsid w:val="64671775"/>
    <w:rsid w:val="64696805"/>
    <w:rsid w:val="647A33AA"/>
    <w:rsid w:val="649D0FB7"/>
    <w:rsid w:val="64AD1EE8"/>
    <w:rsid w:val="64C835E8"/>
    <w:rsid w:val="64DC3A26"/>
    <w:rsid w:val="64E53CCD"/>
    <w:rsid w:val="65037D89"/>
    <w:rsid w:val="65184BE6"/>
    <w:rsid w:val="65434DBA"/>
    <w:rsid w:val="65CB1C32"/>
    <w:rsid w:val="65CC2DA8"/>
    <w:rsid w:val="65E01A1B"/>
    <w:rsid w:val="65E50CD0"/>
    <w:rsid w:val="65EA7A3F"/>
    <w:rsid w:val="66143786"/>
    <w:rsid w:val="661437D2"/>
    <w:rsid w:val="662D6A10"/>
    <w:rsid w:val="662F3BC4"/>
    <w:rsid w:val="66644C16"/>
    <w:rsid w:val="66765ED1"/>
    <w:rsid w:val="6680309F"/>
    <w:rsid w:val="66CD150B"/>
    <w:rsid w:val="66CF2882"/>
    <w:rsid w:val="66DD737F"/>
    <w:rsid w:val="67166304"/>
    <w:rsid w:val="67314F19"/>
    <w:rsid w:val="67413E3A"/>
    <w:rsid w:val="6765640D"/>
    <w:rsid w:val="677B63A0"/>
    <w:rsid w:val="67840091"/>
    <w:rsid w:val="67851845"/>
    <w:rsid w:val="678D258F"/>
    <w:rsid w:val="678D5214"/>
    <w:rsid w:val="67A65FAF"/>
    <w:rsid w:val="67C51F81"/>
    <w:rsid w:val="67E55DA1"/>
    <w:rsid w:val="680C2E0D"/>
    <w:rsid w:val="681326D1"/>
    <w:rsid w:val="681410AF"/>
    <w:rsid w:val="68566CA7"/>
    <w:rsid w:val="685A43CD"/>
    <w:rsid w:val="686B65DA"/>
    <w:rsid w:val="687536A2"/>
    <w:rsid w:val="689C4F5F"/>
    <w:rsid w:val="689F2050"/>
    <w:rsid w:val="68B23A8A"/>
    <w:rsid w:val="68D15BF7"/>
    <w:rsid w:val="68E147FA"/>
    <w:rsid w:val="68E43129"/>
    <w:rsid w:val="68F20E2A"/>
    <w:rsid w:val="69211BB3"/>
    <w:rsid w:val="692A0243"/>
    <w:rsid w:val="69347BAE"/>
    <w:rsid w:val="69417C11"/>
    <w:rsid w:val="694A0997"/>
    <w:rsid w:val="694D0DD3"/>
    <w:rsid w:val="696B069D"/>
    <w:rsid w:val="6979674D"/>
    <w:rsid w:val="699E71D2"/>
    <w:rsid w:val="69CB2D52"/>
    <w:rsid w:val="69CD2FD6"/>
    <w:rsid w:val="69E623BC"/>
    <w:rsid w:val="6A0415AC"/>
    <w:rsid w:val="6A152350"/>
    <w:rsid w:val="6A357ECE"/>
    <w:rsid w:val="6A396D40"/>
    <w:rsid w:val="6A45164B"/>
    <w:rsid w:val="6A7E1949"/>
    <w:rsid w:val="6A897D1D"/>
    <w:rsid w:val="6A8A3778"/>
    <w:rsid w:val="6A8B724C"/>
    <w:rsid w:val="6A9D5C1F"/>
    <w:rsid w:val="6AA17E58"/>
    <w:rsid w:val="6AB62F2F"/>
    <w:rsid w:val="6ABC5256"/>
    <w:rsid w:val="6AE87C61"/>
    <w:rsid w:val="6AF91F18"/>
    <w:rsid w:val="6B2A658B"/>
    <w:rsid w:val="6B542773"/>
    <w:rsid w:val="6BA14393"/>
    <w:rsid w:val="6BAA0D2D"/>
    <w:rsid w:val="6BC67F29"/>
    <w:rsid w:val="6BD10E4A"/>
    <w:rsid w:val="6BD47971"/>
    <w:rsid w:val="6BF33542"/>
    <w:rsid w:val="6BF63E93"/>
    <w:rsid w:val="6C1A2F77"/>
    <w:rsid w:val="6C27438C"/>
    <w:rsid w:val="6C4E5944"/>
    <w:rsid w:val="6C577FFF"/>
    <w:rsid w:val="6C5F6456"/>
    <w:rsid w:val="6C6874E9"/>
    <w:rsid w:val="6CDF75D7"/>
    <w:rsid w:val="6CE54034"/>
    <w:rsid w:val="6CF2743F"/>
    <w:rsid w:val="6CFF5543"/>
    <w:rsid w:val="6D082E63"/>
    <w:rsid w:val="6D0B5C00"/>
    <w:rsid w:val="6D396CA7"/>
    <w:rsid w:val="6D452BB7"/>
    <w:rsid w:val="6D635920"/>
    <w:rsid w:val="6D656150"/>
    <w:rsid w:val="6D671141"/>
    <w:rsid w:val="6D7B64A6"/>
    <w:rsid w:val="6DB50DB6"/>
    <w:rsid w:val="6DF04CF1"/>
    <w:rsid w:val="6DF349E9"/>
    <w:rsid w:val="6E002CD0"/>
    <w:rsid w:val="6E345F4B"/>
    <w:rsid w:val="6E5408EB"/>
    <w:rsid w:val="6E663ACB"/>
    <w:rsid w:val="6E7F7009"/>
    <w:rsid w:val="6E85495E"/>
    <w:rsid w:val="6EA347C6"/>
    <w:rsid w:val="6EAA053D"/>
    <w:rsid w:val="6ED270CE"/>
    <w:rsid w:val="6ED70BF8"/>
    <w:rsid w:val="6EE15E86"/>
    <w:rsid w:val="6F0D06E4"/>
    <w:rsid w:val="6F171E39"/>
    <w:rsid w:val="6F222CC8"/>
    <w:rsid w:val="6F33513D"/>
    <w:rsid w:val="6F4349D7"/>
    <w:rsid w:val="6F4B47C1"/>
    <w:rsid w:val="6F5937B5"/>
    <w:rsid w:val="6F6E6D15"/>
    <w:rsid w:val="6F912F9C"/>
    <w:rsid w:val="6FCF1482"/>
    <w:rsid w:val="6FD364DA"/>
    <w:rsid w:val="6FE45593"/>
    <w:rsid w:val="703F58AB"/>
    <w:rsid w:val="704976A4"/>
    <w:rsid w:val="704D2EF9"/>
    <w:rsid w:val="707E5F5F"/>
    <w:rsid w:val="708B2AD7"/>
    <w:rsid w:val="70A45137"/>
    <w:rsid w:val="70BB7FD1"/>
    <w:rsid w:val="70C603A6"/>
    <w:rsid w:val="70D7274F"/>
    <w:rsid w:val="70EF12CF"/>
    <w:rsid w:val="71023181"/>
    <w:rsid w:val="71092F45"/>
    <w:rsid w:val="711284BD"/>
    <w:rsid w:val="71457D37"/>
    <w:rsid w:val="715A3BB1"/>
    <w:rsid w:val="71740FCE"/>
    <w:rsid w:val="71893B8A"/>
    <w:rsid w:val="71930F8E"/>
    <w:rsid w:val="71952126"/>
    <w:rsid w:val="71A048C1"/>
    <w:rsid w:val="71E64B6F"/>
    <w:rsid w:val="723F3EE9"/>
    <w:rsid w:val="72530800"/>
    <w:rsid w:val="729F16E9"/>
    <w:rsid w:val="73033BAF"/>
    <w:rsid w:val="732138B0"/>
    <w:rsid w:val="73255293"/>
    <w:rsid w:val="733E5263"/>
    <w:rsid w:val="736275C8"/>
    <w:rsid w:val="737547B1"/>
    <w:rsid w:val="73A17175"/>
    <w:rsid w:val="73D07DEB"/>
    <w:rsid w:val="73E42FD8"/>
    <w:rsid w:val="74260563"/>
    <w:rsid w:val="7440091B"/>
    <w:rsid w:val="748F4EE1"/>
    <w:rsid w:val="74A523B8"/>
    <w:rsid w:val="74C00BCB"/>
    <w:rsid w:val="74F23398"/>
    <w:rsid w:val="751649D2"/>
    <w:rsid w:val="751C05A4"/>
    <w:rsid w:val="75494983"/>
    <w:rsid w:val="7568453F"/>
    <w:rsid w:val="756C5B99"/>
    <w:rsid w:val="758D66D4"/>
    <w:rsid w:val="75C55B93"/>
    <w:rsid w:val="75D4350A"/>
    <w:rsid w:val="75D4741A"/>
    <w:rsid w:val="76076095"/>
    <w:rsid w:val="760D0B1E"/>
    <w:rsid w:val="761D0640"/>
    <w:rsid w:val="762B0712"/>
    <w:rsid w:val="76493E14"/>
    <w:rsid w:val="765603D2"/>
    <w:rsid w:val="765C554E"/>
    <w:rsid w:val="769000E5"/>
    <w:rsid w:val="76974EF0"/>
    <w:rsid w:val="76ED2C3B"/>
    <w:rsid w:val="76FC66BE"/>
    <w:rsid w:val="77161E07"/>
    <w:rsid w:val="7727306B"/>
    <w:rsid w:val="77274014"/>
    <w:rsid w:val="77274848"/>
    <w:rsid w:val="77604F2E"/>
    <w:rsid w:val="77815B27"/>
    <w:rsid w:val="77FC4CE6"/>
    <w:rsid w:val="7802479F"/>
    <w:rsid w:val="78161D16"/>
    <w:rsid w:val="783B3E82"/>
    <w:rsid w:val="7847232D"/>
    <w:rsid w:val="7849508C"/>
    <w:rsid w:val="785A3ADB"/>
    <w:rsid w:val="785B0EA8"/>
    <w:rsid w:val="78831E1C"/>
    <w:rsid w:val="7891516B"/>
    <w:rsid w:val="78CD1CAD"/>
    <w:rsid w:val="790B33A4"/>
    <w:rsid w:val="794D6536"/>
    <w:rsid w:val="794F33AE"/>
    <w:rsid w:val="794F5CFD"/>
    <w:rsid w:val="79645045"/>
    <w:rsid w:val="798C1B38"/>
    <w:rsid w:val="79AA414E"/>
    <w:rsid w:val="79AF14FC"/>
    <w:rsid w:val="79DD3AE8"/>
    <w:rsid w:val="79E719E6"/>
    <w:rsid w:val="79EA726B"/>
    <w:rsid w:val="79F503F9"/>
    <w:rsid w:val="7A1220BF"/>
    <w:rsid w:val="7A4153ED"/>
    <w:rsid w:val="7A5B5C0C"/>
    <w:rsid w:val="7A6B196B"/>
    <w:rsid w:val="7A6F4412"/>
    <w:rsid w:val="7A722C88"/>
    <w:rsid w:val="7A847B29"/>
    <w:rsid w:val="7AB95052"/>
    <w:rsid w:val="7ABB252F"/>
    <w:rsid w:val="7ACA4480"/>
    <w:rsid w:val="7AD56FCF"/>
    <w:rsid w:val="7AD93877"/>
    <w:rsid w:val="7AEE3D09"/>
    <w:rsid w:val="7B1E2BBC"/>
    <w:rsid w:val="7B450B94"/>
    <w:rsid w:val="7B9F78CE"/>
    <w:rsid w:val="7BB25E31"/>
    <w:rsid w:val="7BCA08B8"/>
    <w:rsid w:val="7C027A86"/>
    <w:rsid w:val="7C065D2D"/>
    <w:rsid w:val="7C4973F4"/>
    <w:rsid w:val="7C9E2364"/>
    <w:rsid w:val="7CB29FF0"/>
    <w:rsid w:val="7CC4115F"/>
    <w:rsid w:val="7CFE5817"/>
    <w:rsid w:val="7CFE6DCE"/>
    <w:rsid w:val="7D0F0208"/>
    <w:rsid w:val="7D3C798A"/>
    <w:rsid w:val="7D49473B"/>
    <w:rsid w:val="7DB87E27"/>
    <w:rsid w:val="7DBD55A0"/>
    <w:rsid w:val="7DE761EA"/>
    <w:rsid w:val="7DF7546C"/>
    <w:rsid w:val="7DFD7F64"/>
    <w:rsid w:val="7E21356B"/>
    <w:rsid w:val="7E376E07"/>
    <w:rsid w:val="7E69395E"/>
    <w:rsid w:val="7EA87617"/>
    <w:rsid w:val="7EB64DB2"/>
    <w:rsid w:val="7EF35289"/>
    <w:rsid w:val="7F2232C1"/>
    <w:rsid w:val="7F3079F8"/>
    <w:rsid w:val="7F320021"/>
    <w:rsid w:val="7F70137B"/>
    <w:rsid w:val="7F8076C8"/>
    <w:rsid w:val="7FA92F9B"/>
    <w:rsid w:val="7FCF7A34"/>
    <w:rsid w:val="7FF50394"/>
    <w:rsid w:val="7FFFB29C"/>
    <w:rsid w:val="881122AA"/>
    <w:rsid w:val="9A856DE2"/>
    <w:rsid w:val="9CA66255"/>
    <w:rsid w:val="A19CA907"/>
    <w:rsid w:val="A2E59571"/>
    <w:rsid w:val="A3846B11"/>
    <w:rsid w:val="D98D74FA"/>
    <w:rsid w:val="DA1B0E4B"/>
    <w:rsid w:val="E049658E"/>
    <w:rsid w:val="E2D8F7B4"/>
    <w:rsid w:val="E6367653"/>
    <w:rsid w:val="F0C9A939"/>
    <w:rsid w:val="FB4ECC5E"/>
    <w:rsid w:val="FBDB163B"/>
    <w:rsid w:val="FD303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576" w:lineRule="auto"/>
      <w:jc w:val="center"/>
      <w:outlineLvl w:val="0"/>
    </w:pPr>
    <w:rPr>
      <w:rFonts w:ascii="Times New Roman" w:hAnsi="Times New Roman" w:eastAsia="黑体" w:cs="Times New Roman"/>
      <w:b/>
      <w:kern w:val="44"/>
      <w:sz w:val="36"/>
    </w:rPr>
  </w:style>
  <w:style w:type="paragraph" w:styleId="4">
    <w:name w:val="heading 2"/>
    <w:basedOn w:val="1"/>
    <w:next w:val="1"/>
    <w:autoRedefine/>
    <w:qFormat/>
    <w:uiPriority w:val="0"/>
    <w:pPr>
      <w:keepNext/>
      <w:keepLines/>
      <w:numPr>
        <w:ilvl w:val="1"/>
        <w:numId w:val="1"/>
      </w:numPr>
      <w:spacing w:before="260" w:beforeLines="0" w:beforeAutospacing="0" w:after="260" w:afterLines="0" w:afterAutospacing="0" w:line="413" w:lineRule="auto"/>
      <w:jc w:val="center"/>
      <w:outlineLvl w:val="1"/>
    </w:pPr>
    <w:rPr>
      <w:rFonts w:ascii="CG Times" w:hAnsi="CG Times" w:eastAsia="宋体" w:cs="Times New Roman"/>
      <w:b/>
      <w:sz w:val="30"/>
    </w:rPr>
  </w:style>
  <w:style w:type="paragraph" w:styleId="5">
    <w:name w:val="heading 3"/>
    <w:basedOn w:val="1"/>
    <w:next w:val="1"/>
    <w:autoRedefine/>
    <w:qFormat/>
    <w:uiPriority w:val="0"/>
    <w:pPr>
      <w:keepNext/>
      <w:keepLines/>
      <w:spacing w:before="260" w:beforeLines="0" w:beforeAutospacing="0" w:after="260" w:afterLines="0" w:afterAutospacing="0" w:line="415" w:lineRule="auto"/>
      <w:outlineLvl w:val="2"/>
    </w:pPr>
    <w:rPr>
      <w:rFonts w:ascii="Times New Roman" w:hAnsi="Times New Roman" w:eastAsia="宋体" w:cs="Times New Roman"/>
      <w:b/>
      <w:sz w:val="32"/>
    </w:rPr>
  </w:style>
  <w:style w:type="paragraph" w:styleId="6">
    <w:name w:val="heading 5"/>
    <w:basedOn w:val="1"/>
    <w:next w:val="7"/>
    <w:autoRedefine/>
    <w:qFormat/>
    <w:uiPriority w:val="0"/>
    <w:pPr>
      <w:keepNext/>
      <w:keepLines/>
      <w:numPr>
        <w:ilvl w:val="4"/>
        <w:numId w:val="1"/>
      </w:numPr>
      <w:spacing w:before="280" w:beforeLines="0" w:beforeAutospacing="0" w:after="290" w:afterLines="0" w:afterAutospacing="0" w:line="372" w:lineRule="auto"/>
      <w:outlineLvl w:val="4"/>
    </w:pPr>
    <w:rPr>
      <w:rFonts w:ascii="Times New Roman" w:hAnsi="Times New Roman" w:eastAsia="宋体" w:cs="Times New Roman"/>
      <w:b/>
      <w:sz w:val="28"/>
    </w:rPr>
  </w:style>
  <w:style w:type="paragraph" w:styleId="8">
    <w:name w:val="heading 6"/>
    <w:basedOn w:val="1"/>
    <w:next w:val="7"/>
    <w:autoRedefine/>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cs="Times New Roman"/>
      <w:b/>
      <w:sz w:val="24"/>
    </w:rPr>
  </w:style>
  <w:style w:type="paragraph" w:styleId="9">
    <w:name w:val="heading 7"/>
    <w:basedOn w:val="1"/>
    <w:next w:val="7"/>
    <w:autoRedefine/>
    <w:qFormat/>
    <w:uiPriority w:val="0"/>
    <w:pPr>
      <w:keepNext/>
      <w:keepLines/>
      <w:numPr>
        <w:ilvl w:val="6"/>
        <w:numId w:val="1"/>
      </w:numPr>
      <w:spacing w:before="240" w:beforeLines="0" w:beforeAutospacing="0" w:after="64" w:afterLines="0" w:afterAutospacing="0" w:line="317" w:lineRule="auto"/>
      <w:outlineLvl w:val="6"/>
    </w:pPr>
    <w:rPr>
      <w:rFonts w:ascii="Times New Roman" w:hAnsi="Times New Roman" w:eastAsia="宋体" w:cs="Times New Roman"/>
      <w:b/>
      <w:sz w:val="24"/>
    </w:rPr>
  </w:style>
  <w:style w:type="paragraph" w:styleId="10">
    <w:name w:val="heading 8"/>
    <w:basedOn w:val="1"/>
    <w:next w:val="7"/>
    <w:autoRedefine/>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cs="Times New Roman"/>
      <w:sz w:val="24"/>
    </w:rPr>
  </w:style>
  <w:style w:type="paragraph" w:styleId="11">
    <w:name w:val="heading 9"/>
    <w:basedOn w:val="1"/>
    <w:next w:val="7"/>
    <w:autoRedefine/>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cs="Times New Roman"/>
    </w:rPr>
  </w:style>
  <w:style w:type="character" w:default="1" w:styleId="34">
    <w:name w:val="Default Paragraph Font"/>
    <w:autoRedefine/>
    <w:qFormat/>
    <w:uiPriority w:val="0"/>
    <w:rPr>
      <w:rFonts w:ascii="Times New Roman" w:hAnsi="Times New Roman" w:eastAsia="宋体" w:cs="Times New Roman"/>
    </w:rPr>
  </w:style>
  <w:style w:type="table" w:default="1" w:styleId="32">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oc 1"/>
    <w:basedOn w:val="1"/>
    <w:next w:val="1"/>
    <w:autoRedefine/>
    <w:qFormat/>
    <w:uiPriority w:val="0"/>
    <w:pPr>
      <w:tabs>
        <w:tab w:val="left" w:pos="735"/>
        <w:tab w:val="right" w:leader="dot" w:pos="9530"/>
      </w:tabs>
      <w:spacing w:line="440" w:lineRule="exact"/>
    </w:pPr>
    <w:rPr>
      <w:rFonts w:ascii="Times New Roman" w:hAnsi="Times New Roman" w:eastAsia="宋体" w:cs="Times New Roman"/>
    </w:rPr>
  </w:style>
  <w:style w:type="paragraph" w:styleId="7">
    <w:name w:val="Normal Indent"/>
    <w:basedOn w:val="1"/>
    <w:link w:val="41"/>
    <w:autoRedefine/>
    <w:qFormat/>
    <w:uiPriority w:val="0"/>
    <w:pPr>
      <w:ind w:firstLine="420" w:firstLineChars="200"/>
    </w:pPr>
  </w:style>
  <w:style w:type="paragraph" w:styleId="12">
    <w:name w:val="Document Map"/>
    <w:basedOn w:val="1"/>
    <w:autoRedefine/>
    <w:qFormat/>
    <w:uiPriority w:val="0"/>
    <w:pPr>
      <w:shd w:val="clear" w:color="auto" w:fill="000080"/>
    </w:pPr>
    <w:rPr>
      <w:rFonts w:ascii="Times New Roman" w:hAnsi="Times New Roman" w:eastAsia="宋体" w:cs="Times New Roman"/>
    </w:rPr>
  </w:style>
  <w:style w:type="paragraph" w:styleId="13">
    <w:name w:val="annotation text"/>
    <w:basedOn w:val="1"/>
    <w:link w:val="42"/>
    <w:autoRedefine/>
    <w:qFormat/>
    <w:uiPriority w:val="0"/>
    <w:pPr>
      <w:jc w:val="left"/>
    </w:pPr>
  </w:style>
  <w:style w:type="paragraph" w:styleId="14">
    <w:name w:val="Body Text"/>
    <w:basedOn w:val="1"/>
    <w:next w:val="1"/>
    <w:autoRedefine/>
    <w:qFormat/>
    <w:uiPriority w:val="0"/>
    <w:rPr>
      <w:rFonts w:ascii="黑体" w:hAnsi="Courier New" w:eastAsia="黑体" w:cs="Times New Roman"/>
      <w:sz w:val="30"/>
      <w:shd w:val="pct10" w:color="auto" w:fill="FFFFFF"/>
    </w:rPr>
  </w:style>
  <w:style w:type="paragraph" w:styleId="15">
    <w:name w:val="Body Text Indent"/>
    <w:basedOn w:val="1"/>
    <w:autoRedefine/>
    <w:qFormat/>
    <w:uiPriority w:val="0"/>
    <w:pPr>
      <w:spacing w:line="720" w:lineRule="exact"/>
      <w:ind w:firstLine="601"/>
    </w:pPr>
    <w:rPr>
      <w:rFonts w:ascii="宋体" w:hAnsi="宋体" w:eastAsia="宋体" w:cs="Times New Roman"/>
      <w:sz w:val="24"/>
    </w:rPr>
  </w:style>
  <w:style w:type="paragraph" w:styleId="16">
    <w:name w:val="toc 3"/>
    <w:basedOn w:val="1"/>
    <w:next w:val="1"/>
    <w:autoRedefine/>
    <w:qFormat/>
    <w:uiPriority w:val="0"/>
    <w:pPr>
      <w:ind w:left="840" w:leftChars="400"/>
    </w:pPr>
  </w:style>
  <w:style w:type="paragraph" w:styleId="17">
    <w:name w:val="Plain Text"/>
    <w:basedOn w:val="1"/>
    <w:link w:val="43"/>
    <w:autoRedefine/>
    <w:qFormat/>
    <w:uiPriority w:val="0"/>
    <w:rPr>
      <w:rFonts w:ascii="宋体" w:hAnsi="Courier New"/>
    </w:rPr>
  </w:style>
  <w:style w:type="paragraph" w:styleId="18">
    <w:name w:val="Date"/>
    <w:basedOn w:val="1"/>
    <w:next w:val="1"/>
    <w:autoRedefine/>
    <w:qFormat/>
    <w:uiPriority w:val="0"/>
    <w:pPr>
      <w:ind w:left="100" w:leftChars="2500"/>
    </w:pPr>
    <w:rPr>
      <w:rFonts w:ascii="Times New Roman" w:hAnsi="Times New Roman" w:eastAsia="宋体" w:cs="Times New Roman"/>
    </w:rPr>
  </w:style>
  <w:style w:type="paragraph" w:styleId="19">
    <w:name w:val="Balloon Text"/>
    <w:basedOn w:val="1"/>
    <w:next w:val="1"/>
    <w:link w:val="44"/>
    <w:autoRedefine/>
    <w:qFormat/>
    <w:uiPriority w:val="0"/>
    <w:rPr>
      <w:sz w:val="18"/>
    </w:rPr>
  </w:style>
  <w:style w:type="paragraph" w:styleId="20">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21">
    <w:name w:val="envelope return"/>
    <w:basedOn w:val="1"/>
    <w:autoRedefine/>
    <w:qFormat/>
    <w:uiPriority w:val="0"/>
    <w:pPr>
      <w:snapToGrid w:val="0"/>
    </w:pPr>
    <w:rPr>
      <w:rFonts w:ascii="Arial" w:hAnsi="Arial"/>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23">
    <w:name w:val="toc 2"/>
    <w:basedOn w:val="1"/>
    <w:next w:val="1"/>
    <w:autoRedefine/>
    <w:qFormat/>
    <w:uiPriority w:val="0"/>
    <w:pPr>
      <w:ind w:left="420" w:leftChars="200"/>
    </w:pPr>
    <w:rPr>
      <w:rFonts w:ascii="Times New Roman" w:hAnsi="Times New Roman" w:eastAsia="宋体" w:cs="Times New Roman"/>
    </w:rPr>
  </w:style>
  <w:style w:type="paragraph" w:styleId="24">
    <w:name w:val="Body Text 2"/>
    <w:basedOn w:val="1"/>
    <w:autoRedefine/>
    <w:qFormat/>
    <w:uiPriority w:val="0"/>
    <w:pPr>
      <w:spacing w:after="120" w:afterLines="0" w:afterAutospacing="0" w:line="480" w:lineRule="auto"/>
    </w:pPr>
    <w:rPr>
      <w:rFonts w:ascii="Times New Roman" w:hAnsi="Times New Roman" w:eastAsia="宋体" w:cs="Times New Roman"/>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6">
    <w:name w:val="Normal (Web)"/>
    <w:basedOn w:val="1"/>
    <w:next w:val="27"/>
    <w:autoRedefine/>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customStyle="1" w:styleId="27">
    <w:name w:val="样式 标题 3 + (中文) 黑体 小四 非加粗 段前: 7.8 磅 段后: 0 磅 行距: 固定值 20 磅"/>
    <w:basedOn w:val="5"/>
    <w:autoRedefine/>
    <w:qFormat/>
    <w:uiPriority w:val="0"/>
    <w:pPr>
      <w:tabs>
        <w:tab w:val="left" w:pos="425"/>
      </w:tabs>
      <w:spacing w:line="400" w:lineRule="exact"/>
    </w:pPr>
    <w:rPr>
      <w:rFonts w:ascii="Times New Roman" w:hAnsi="Times New Roman" w:eastAsia="黑体" w:cs="宋体"/>
      <w:b w:val="0"/>
      <w:kern w:val="2"/>
      <w:sz w:val="24"/>
      <w:szCs w:val="20"/>
    </w:rPr>
  </w:style>
  <w:style w:type="paragraph" w:styleId="28">
    <w:name w:val="Title"/>
    <w:basedOn w:val="1"/>
    <w:next w:val="1"/>
    <w:autoRedefine/>
    <w:qFormat/>
    <w:uiPriority w:val="0"/>
    <w:pPr>
      <w:jc w:val="center"/>
    </w:pPr>
    <w:rPr>
      <w:rFonts w:ascii="Times New Roman" w:hAnsi="Times New Roman" w:eastAsia="宋体" w:cs="Times New Roman"/>
      <w:sz w:val="30"/>
    </w:rPr>
  </w:style>
  <w:style w:type="paragraph" w:styleId="29">
    <w:name w:val="annotation subject"/>
    <w:basedOn w:val="13"/>
    <w:next w:val="13"/>
    <w:link w:val="45"/>
    <w:autoRedefine/>
    <w:qFormat/>
    <w:uiPriority w:val="0"/>
    <w:rPr>
      <w:b/>
    </w:rPr>
  </w:style>
  <w:style w:type="paragraph" w:styleId="30">
    <w:name w:val="Body Text First Indent"/>
    <w:basedOn w:val="14"/>
    <w:autoRedefine/>
    <w:qFormat/>
    <w:uiPriority w:val="0"/>
    <w:pPr>
      <w:ind w:firstLine="420" w:firstLineChars="100"/>
    </w:pPr>
  </w:style>
  <w:style w:type="paragraph" w:styleId="31">
    <w:name w:val="Body Text First Indent 2"/>
    <w:basedOn w:val="15"/>
    <w:autoRedefine/>
    <w:qFormat/>
    <w:uiPriority w:val="0"/>
    <w:pPr>
      <w:ind w:firstLine="420" w:firstLineChars="200"/>
    </w:pPr>
  </w:style>
  <w:style w:type="table" w:styleId="33">
    <w:name w:val="Table Grid"/>
    <w:basedOn w:val="3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rFonts w:ascii="Times New Roman" w:hAnsi="Times New Roman" w:eastAsia="宋体" w:cs="Times New Roman"/>
      <w:b/>
    </w:rPr>
  </w:style>
  <w:style w:type="character" w:styleId="36">
    <w:name w:val="page number"/>
    <w:autoRedefine/>
    <w:qFormat/>
    <w:uiPriority w:val="0"/>
    <w:rPr>
      <w:rFonts w:ascii="Times New Roman" w:hAnsi="Times New Roman" w:eastAsia="宋体" w:cs="Times New Roman"/>
    </w:rPr>
  </w:style>
  <w:style w:type="character" w:styleId="37">
    <w:name w:val="FollowedHyperlink"/>
    <w:autoRedefine/>
    <w:qFormat/>
    <w:uiPriority w:val="0"/>
    <w:rPr>
      <w:rFonts w:hint="eastAsia" w:ascii="微软雅黑" w:hAnsi="微软雅黑" w:eastAsia="微软雅黑" w:cs="微软雅黑"/>
      <w:color w:val="02396F"/>
      <w:u w:val="single"/>
    </w:rPr>
  </w:style>
  <w:style w:type="character" w:styleId="38">
    <w:name w:val="Hyperlink"/>
    <w:autoRedefine/>
    <w:qFormat/>
    <w:uiPriority w:val="0"/>
    <w:rPr>
      <w:rFonts w:ascii="微软雅黑" w:hAnsi="微软雅黑" w:eastAsia="微软雅黑" w:cs="微软雅黑"/>
      <w:color w:val="02396F"/>
      <w:u w:val="single"/>
    </w:rPr>
  </w:style>
  <w:style w:type="character" w:styleId="39">
    <w:name w:val="annotation reference"/>
    <w:autoRedefine/>
    <w:qFormat/>
    <w:uiPriority w:val="0"/>
    <w:rPr>
      <w:rFonts w:ascii="Times New Roman" w:hAnsi="Times New Roman" w:eastAsia="宋体" w:cs="Times New Roman"/>
      <w:sz w:val="21"/>
    </w:rPr>
  </w:style>
  <w:style w:type="paragraph" w:customStyle="1" w:styleId="40">
    <w:name w:val="PlainText"/>
    <w:basedOn w:val="1"/>
    <w:qFormat/>
    <w:uiPriority w:val="0"/>
    <w:pPr>
      <w:textAlignment w:val="baseline"/>
    </w:pPr>
    <w:rPr>
      <w:rFonts w:ascii="宋体" w:hAnsi="Courier New"/>
      <w:kern w:val="0"/>
      <w:sz w:val="20"/>
      <w:szCs w:val="21"/>
    </w:rPr>
  </w:style>
  <w:style w:type="character" w:customStyle="1" w:styleId="41">
    <w:name w:val="正文缩进 字符"/>
    <w:link w:val="7"/>
    <w:autoRedefine/>
    <w:qFormat/>
    <w:uiPriority w:val="0"/>
    <w:rPr>
      <w:rFonts w:ascii="Times New Roman" w:hAnsi="Times New Roman" w:eastAsia="宋体" w:cs="Times New Roman"/>
      <w:kern w:val="2"/>
      <w:sz w:val="21"/>
      <w:lang w:val="en-US" w:eastAsia="zh-CN"/>
    </w:rPr>
  </w:style>
  <w:style w:type="character" w:customStyle="1" w:styleId="42">
    <w:name w:val="批注文字 字符"/>
    <w:link w:val="13"/>
    <w:autoRedefine/>
    <w:qFormat/>
    <w:uiPriority w:val="0"/>
    <w:rPr>
      <w:rFonts w:ascii="Times New Roman" w:hAnsi="Times New Roman" w:eastAsia="宋体" w:cs="Times New Roman"/>
      <w:kern w:val="2"/>
      <w:sz w:val="21"/>
      <w:lang w:val="en-US" w:eastAsia="zh-CN"/>
    </w:rPr>
  </w:style>
  <w:style w:type="character" w:customStyle="1" w:styleId="43">
    <w:name w:val="纯文本 字符"/>
    <w:link w:val="17"/>
    <w:autoRedefine/>
    <w:qFormat/>
    <w:uiPriority w:val="0"/>
    <w:rPr>
      <w:rFonts w:ascii="宋体" w:hAnsi="Courier New" w:eastAsia="宋体" w:cs="Times New Roman"/>
      <w:kern w:val="2"/>
      <w:sz w:val="21"/>
      <w:lang w:val="en-US" w:eastAsia="zh-CN"/>
    </w:rPr>
  </w:style>
  <w:style w:type="character" w:customStyle="1" w:styleId="44">
    <w:name w:val="批注框文本 字符"/>
    <w:link w:val="19"/>
    <w:autoRedefine/>
    <w:qFormat/>
    <w:uiPriority w:val="0"/>
    <w:rPr>
      <w:rFonts w:ascii="Times New Roman" w:hAnsi="Times New Roman" w:eastAsia="宋体" w:cs="Times New Roman"/>
      <w:kern w:val="2"/>
      <w:sz w:val="18"/>
    </w:rPr>
  </w:style>
  <w:style w:type="character" w:customStyle="1" w:styleId="45">
    <w:name w:val="批注主题 字符"/>
    <w:link w:val="29"/>
    <w:autoRedefine/>
    <w:qFormat/>
    <w:uiPriority w:val="0"/>
    <w:rPr>
      <w:rFonts w:ascii="Times New Roman" w:hAnsi="Times New Roman" w:eastAsia="宋体" w:cs="Times New Roman"/>
      <w:b/>
      <w:kern w:val="2"/>
      <w:sz w:val="21"/>
      <w:lang w:val="en-US" w:eastAsia="zh-CN"/>
    </w:rPr>
  </w:style>
  <w:style w:type="paragraph" w:customStyle="1" w:styleId="46">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47">
    <w:name w:val="Fließtext2"/>
    <w:basedOn w:val="1"/>
    <w:autoRedefine/>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48">
    <w:name w:val="样式3 Char"/>
    <w:link w:val="49"/>
    <w:autoRedefine/>
    <w:qFormat/>
    <w:uiPriority w:val="0"/>
    <w:rPr>
      <w:rFonts w:ascii="宋体" w:hAnsi="Courier New" w:eastAsia="宋体" w:cs="Times New Roman"/>
      <w:kern w:val="2"/>
      <w:sz w:val="28"/>
      <w:lang w:val="en-US" w:eastAsia="zh-CN"/>
    </w:rPr>
  </w:style>
  <w:style w:type="paragraph" w:customStyle="1" w:styleId="49">
    <w:name w:val="样式3"/>
    <w:basedOn w:val="17"/>
    <w:link w:val="48"/>
    <w:autoRedefine/>
    <w:qFormat/>
    <w:uiPriority w:val="0"/>
    <w:pPr>
      <w:spacing w:line="0" w:lineRule="atLeast"/>
      <w:outlineLvl w:val="0"/>
    </w:pPr>
    <w:rPr>
      <w:sz w:val="28"/>
    </w:rPr>
  </w:style>
  <w:style w:type="character" w:customStyle="1" w:styleId="50">
    <w:name w:val="displayarti"/>
    <w:autoRedefine/>
    <w:qFormat/>
    <w:uiPriority w:val="0"/>
    <w:rPr>
      <w:rFonts w:ascii="Times New Roman" w:hAnsi="Times New Roman" w:eastAsia="宋体" w:cs="Times New Roman"/>
      <w:color w:val="FFFFFF"/>
      <w:shd w:val="clear" w:color="auto" w:fill="A00000"/>
    </w:rPr>
  </w:style>
  <w:style w:type="character" w:customStyle="1" w:styleId="51">
    <w:name w:val="普通文字 Char Char2"/>
    <w:autoRedefine/>
    <w:qFormat/>
    <w:uiPriority w:val="0"/>
    <w:rPr>
      <w:rFonts w:ascii="宋体" w:hAnsi="Courier New" w:eastAsia="宋体" w:cs="Times New Roman"/>
      <w:kern w:val="2"/>
      <w:sz w:val="21"/>
      <w:lang w:val="en-US" w:eastAsia="zh-CN"/>
    </w:rPr>
  </w:style>
  <w:style w:type="character" w:customStyle="1" w:styleId="52">
    <w:name w:val="样式3 Char Char"/>
    <w:autoRedefine/>
    <w:qFormat/>
    <w:uiPriority w:val="0"/>
    <w:rPr>
      <w:rFonts w:ascii="宋体" w:hAnsi="Courier New" w:eastAsia="宋体" w:cs="Times New Roman"/>
      <w:kern w:val="2"/>
      <w:sz w:val="28"/>
      <w:lang w:val="en-US" w:eastAsia="zh-CN"/>
    </w:rPr>
  </w:style>
  <w:style w:type="character" w:customStyle="1" w:styleId="53">
    <w:name w:val="正文文本 (3) + 间距 1 pt2"/>
    <w:autoRedefine/>
    <w:qFormat/>
    <w:uiPriority w:val="0"/>
    <w:rPr>
      <w:rFonts w:ascii="Times New Roman" w:hAnsi="Times New Roman" w:eastAsia="宋体" w:cs="Times New Roman"/>
      <w:spacing w:val="20"/>
      <w:u w:val="single"/>
    </w:rPr>
  </w:style>
  <w:style w:type="character" w:customStyle="1" w:styleId="54">
    <w:name w:val="正文文本 (3) + SimSun"/>
    <w:autoRedefine/>
    <w:qFormat/>
    <w:uiPriority w:val="0"/>
    <w:rPr>
      <w:rFonts w:ascii="宋体" w:hAnsi="Times New Roman" w:eastAsia="宋体" w:cs="Times New Roman"/>
      <w:spacing w:val="40"/>
      <w:sz w:val="28"/>
      <w:u w:val="single"/>
      <w:lang w:val="en-US" w:eastAsia="en-US"/>
    </w:rPr>
  </w:style>
  <w:style w:type="character" w:customStyle="1" w:styleId="55">
    <w:name w:val="正文文本 + MingLiU21"/>
    <w:autoRedefine/>
    <w:qFormat/>
    <w:uiPriority w:val="0"/>
    <w:rPr>
      <w:rFonts w:ascii="MingLiU" w:hAnsi="Times New Roman" w:eastAsia="MingLiU" w:cs="Times New Roman"/>
      <w:spacing w:val="-10"/>
      <w:sz w:val="29"/>
      <w:u w:val="none"/>
    </w:rPr>
  </w:style>
  <w:style w:type="character" w:customStyle="1" w:styleId="56">
    <w:name w:val=" Char Char4"/>
    <w:autoRedefine/>
    <w:qFormat/>
    <w:uiPriority w:val="0"/>
    <w:rPr>
      <w:rFonts w:ascii="宋体" w:hAnsi="Courier New" w:eastAsia="宋体" w:cs="Times New Roman"/>
      <w:kern w:val="2"/>
      <w:sz w:val="21"/>
      <w:lang w:val="en-US" w:eastAsia="zh-CN" w:bidi="ar-SA"/>
    </w:rPr>
  </w:style>
  <w:style w:type="character" w:customStyle="1" w:styleId="57">
    <w:name w:val=" Char Char2"/>
    <w:autoRedefine/>
    <w:qFormat/>
    <w:uiPriority w:val="0"/>
    <w:rPr>
      <w:rFonts w:ascii="Times New Roman" w:hAnsi="Times New Roman" w:eastAsia="宋体" w:cs="Times New Roman"/>
      <w:kern w:val="2"/>
      <w:sz w:val="30"/>
    </w:rPr>
  </w:style>
  <w:style w:type="character" w:customStyle="1" w:styleId="58">
    <w:name w:val="A10"/>
    <w:autoRedefine/>
    <w:qFormat/>
    <w:uiPriority w:val="0"/>
    <w:rPr>
      <w:rFonts w:ascii="Univers LT Std 45 Light" w:hAnsi="Times New Roman" w:eastAsia="Univers LT Std 45 Light" w:cs="Times New Roman"/>
      <w:color w:val="221E1F"/>
      <w:sz w:val="8"/>
    </w:rPr>
  </w:style>
  <w:style w:type="character" w:customStyle="1" w:styleId="59">
    <w:name w:val="redfilenumber"/>
    <w:autoRedefine/>
    <w:qFormat/>
    <w:uiPriority w:val="0"/>
    <w:rPr>
      <w:rFonts w:ascii="Times New Roman" w:hAnsi="Times New Roman" w:eastAsia="宋体" w:cs="Times New Roman"/>
      <w:color w:val="BA2636"/>
      <w:sz w:val="18"/>
      <w:szCs w:val="18"/>
    </w:rPr>
  </w:style>
  <w:style w:type="character" w:customStyle="1" w:styleId="60">
    <w:name w:val="纯文本 Char1"/>
    <w:autoRedefine/>
    <w:qFormat/>
    <w:uiPriority w:val="0"/>
    <w:rPr>
      <w:rFonts w:ascii="宋体" w:hAnsi="Courier New" w:eastAsia="宋体" w:cs="Times New Roman"/>
      <w:kern w:val="2"/>
      <w:sz w:val="21"/>
      <w:lang w:val="en-US" w:eastAsia="zh-CN"/>
    </w:rPr>
  </w:style>
  <w:style w:type="character" w:customStyle="1" w:styleId="61">
    <w:name w:val="A1"/>
    <w:autoRedefine/>
    <w:qFormat/>
    <w:uiPriority w:val="0"/>
    <w:rPr>
      <w:rFonts w:ascii="Univers LT Std 45 Light" w:hAnsi="Times New Roman" w:eastAsia="Univers LT Std 45 Light" w:cs="Times New Roman"/>
      <w:color w:val="221E1F"/>
      <w:sz w:val="10"/>
    </w:rPr>
  </w:style>
  <w:style w:type="character" w:customStyle="1" w:styleId="62">
    <w:name w:val="正文缩进字符"/>
    <w:autoRedefine/>
    <w:qFormat/>
    <w:uiPriority w:val="0"/>
    <w:rPr>
      <w:rFonts w:ascii="Times New Roman" w:hAnsi="Times New Roman" w:eastAsia="宋体" w:cs="Times New Roman"/>
      <w:kern w:val="2"/>
      <w:sz w:val="21"/>
      <w:lang w:val="en-US" w:eastAsia="zh-CN"/>
    </w:rPr>
  </w:style>
  <w:style w:type="character" w:customStyle="1" w:styleId="63">
    <w:name w:val="pxj Char"/>
    <w:link w:val="64"/>
    <w:autoRedefine/>
    <w:qFormat/>
    <w:uiPriority w:val="0"/>
    <w:rPr>
      <w:sz w:val="21"/>
      <w:lang w:val="en-US" w:eastAsia="zh-CN" w:bidi="ar-SA"/>
    </w:rPr>
  </w:style>
  <w:style w:type="paragraph" w:customStyle="1" w:styleId="64">
    <w:name w:val="pxj"/>
    <w:link w:val="63"/>
    <w:autoRedefine/>
    <w:qFormat/>
    <w:uiPriority w:val="0"/>
    <w:pPr>
      <w:adjustRightInd w:val="0"/>
      <w:jc w:val="both"/>
    </w:pPr>
    <w:rPr>
      <w:rFonts w:ascii="Times New Roman" w:hAnsi="Times New Roman" w:eastAsia="宋体" w:cs="Times New Roman"/>
      <w:sz w:val="21"/>
      <w:lang w:val="en-US" w:eastAsia="zh-CN" w:bidi="ar-SA"/>
    </w:rPr>
  </w:style>
  <w:style w:type="character" w:customStyle="1" w:styleId="65">
    <w:name w:val="cfdate"/>
    <w:autoRedefine/>
    <w:qFormat/>
    <w:uiPriority w:val="0"/>
    <w:rPr>
      <w:rFonts w:ascii="Times New Roman" w:hAnsi="Times New Roman" w:eastAsia="宋体" w:cs="Times New Roman"/>
      <w:color w:val="333333"/>
      <w:sz w:val="18"/>
      <w:szCs w:val="18"/>
    </w:rPr>
  </w:style>
  <w:style w:type="character" w:customStyle="1" w:styleId="66">
    <w:name w:val=" Char Char"/>
    <w:autoRedefine/>
    <w:qFormat/>
    <w:uiPriority w:val="0"/>
    <w:rPr>
      <w:rFonts w:ascii="宋体" w:hAnsi="Courier New" w:eastAsia="宋体" w:cs="Times New Roman"/>
      <w:kern w:val="2"/>
      <w:sz w:val="21"/>
      <w:lang w:val="en-US" w:eastAsia="zh-CN" w:bidi="ar-SA"/>
    </w:rPr>
  </w:style>
  <w:style w:type="character" w:customStyle="1" w:styleId="67">
    <w:name w:val="font21"/>
    <w:basedOn w:val="34"/>
    <w:autoRedefine/>
    <w:qFormat/>
    <w:uiPriority w:val="0"/>
    <w:rPr>
      <w:rFonts w:hint="eastAsia" w:ascii="宋体" w:hAnsi="宋体" w:eastAsia="宋体" w:cs="宋体"/>
      <w:color w:val="000000"/>
      <w:sz w:val="20"/>
      <w:szCs w:val="20"/>
      <w:u w:val="none"/>
    </w:rPr>
  </w:style>
  <w:style w:type="character" w:customStyle="1" w:styleId="68">
    <w:name w:val="font01"/>
    <w:autoRedefine/>
    <w:qFormat/>
    <w:uiPriority w:val="0"/>
    <w:rPr>
      <w:rFonts w:hint="eastAsia" w:ascii="黑体" w:hAnsi="宋体" w:eastAsia="黑体" w:cs="黑体"/>
      <w:color w:val="000000"/>
      <w:sz w:val="24"/>
      <w:szCs w:val="24"/>
      <w:u w:val="none"/>
    </w:rPr>
  </w:style>
  <w:style w:type="character" w:customStyle="1" w:styleId="69">
    <w:name w:val="qxdate"/>
    <w:autoRedefine/>
    <w:qFormat/>
    <w:uiPriority w:val="0"/>
    <w:rPr>
      <w:rFonts w:ascii="Times New Roman" w:hAnsi="Times New Roman" w:eastAsia="宋体" w:cs="Times New Roman"/>
      <w:color w:val="333333"/>
      <w:sz w:val="18"/>
      <w:szCs w:val="18"/>
    </w:rPr>
  </w:style>
  <w:style w:type="character" w:customStyle="1" w:styleId="70">
    <w:name w:val="font31"/>
    <w:autoRedefine/>
    <w:qFormat/>
    <w:uiPriority w:val="0"/>
    <w:rPr>
      <w:rFonts w:hint="eastAsia" w:ascii="宋体" w:hAnsi="宋体" w:eastAsia="宋体" w:cs="宋体"/>
      <w:color w:val="000000"/>
      <w:sz w:val="24"/>
      <w:szCs w:val="24"/>
      <w:u w:val="none"/>
    </w:rPr>
  </w:style>
  <w:style w:type="character" w:customStyle="1" w:styleId="71">
    <w:name w:val="redfilefwwh"/>
    <w:autoRedefine/>
    <w:qFormat/>
    <w:uiPriority w:val="0"/>
    <w:rPr>
      <w:rFonts w:ascii="Times New Roman" w:hAnsi="Times New Roman" w:eastAsia="宋体" w:cs="Times New Roman"/>
      <w:color w:val="BA2636"/>
      <w:sz w:val="18"/>
      <w:szCs w:val="18"/>
    </w:rPr>
  </w:style>
  <w:style w:type="character" w:customStyle="1" w:styleId="72">
    <w:name w:val="_Style 62"/>
    <w:autoRedefine/>
    <w:qFormat/>
    <w:uiPriority w:val="0"/>
    <w:rPr>
      <w:rFonts w:ascii="Times New Roman" w:hAnsi="Times New Roman" w:eastAsia="宋体" w:cs="Times New Roman"/>
      <w:b/>
      <w:i/>
      <w:color w:val="4F81BD"/>
    </w:rPr>
  </w:style>
  <w:style w:type="character" w:customStyle="1" w:styleId="73">
    <w:name w:val=" Char Char1"/>
    <w:autoRedefine/>
    <w:qFormat/>
    <w:uiPriority w:val="0"/>
    <w:rPr>
      <w:rFonts w:ascii="Times New Roman" w:hAnsi="Times New Roman" w:eastAsia="宋体" w:cs="Times New Roman"/>
      <w:kern w:val="2"/>
      <w:sz w:val="21"/>
      <w:szCs w:val="24"/>
      <w:lang w:val="en-US" w:eastAsia="zh-CN" w:bidi="ar-SA"/>
    </w:rPr>
  </w:style>
  <w:style w:type="character" w:customStyle="1" w:styleId="74">
    <w:name w:val="gjfg"/>
    <w:autoRedefine/>
    <w:qFormat/>
    <w:uiPriority w:val="0"/>
    <w:rPr>
      <w:rFonts w:ascii="Times New Roman" w:hAnsi="Times New Roman" w:eastAsia="宋体" w:cs="Times New Roman"/>
    </w:rPr>
  </w:style>
  <w:style w:type="paragraph" w:customStyle="1" w:styleId="75">
    <w:name w:val=" Char4"/>
    <w:basedOn w:val="1"/>
    <w:autoRedefine/>
    <w:qFormat/>
    <w:uiPriority w:val="0"/>
    <w:rPr>
      <w:rFonts w:ascii="Tahoma" w:hAnsi="Tahoma" w:eastAsia="宋体" w:cs="Times New Roman"/>
      <w:sz w:val="24"/>
    </w:rPr>
  </w:style>
  <w:style w:type="paragraph" w:customStyle="1" w:styleId="76">
    <w:name w:val=" Char Char1 Char Char Char"/>
    <w:basedOn w:val="12"/>
    <w:autoRedefine/>
    <w:qFormat/>
    <w:uiPriority w:val="0"/>
    <w:rPr>
      <w:rFonts w:ascii="Tahoma" w:hAnsi="Tahoma" w:eastAsia="宋体" w:cs="Times New Roman"/>
      <w:sz w:val="24"/>
    </w:rPr>
  </w:style>
  <w:style w:type="paragraph" w:customStyle="1" w:styleId="77">
    <w:name w:val=" Char Char Char Char Char Char Char Char Char Char"/>
    <w:basedOn w:val="1"/>
    <w:autoRedefine/>
    <w:qFormat/>
    <w:uiPriority w:val="0"/>
    <w:rPr>
      <w:rFonts w:ascii="Times New Roman" w:hAnsi="Times New Roman" w:eastAsia="宋体" w:cs="Times New Roman"/>
      <w:szCs w:val="24"/>
    </w:rPr>
  </w:style>
  <w:style w:type="paragraph" w:customStyle="1" w:styleId="78">
    <w:name w:val="p16"/>
    <w:autoRedefine/>
    <w:qFormat/>
    <w:uiPriority w:val="0"/>
    <w:pPr>
      <w:jc w:val="both"/>
    </w:pPr>
    <w:rPr>
      <w:rFonts w:ascii="宋体" w:hAnsi="Times New Roman" w:eastAsia="宋体" w:cs="Times New Roman"/>
      <w:lang w:val="en-US" w:eastAsia="zh-CN" w:bidi="ar-SA"/>
    </w:rPr>
  </w:style>
  <w:style w:type="paragraph" w:customStyle="1" w:styleId="79">
    <w:name w:val="标3"/>
    <w:basedOn w:val="1"/>
    <w:autoRedefine/>
    <w:qFormat/>
    <w:uiPriority w:val="0"/>
    <w:pPr>
      <w:numPr>
        <w:ilvl w:val="2"/>
        <w:numId w:val="2"/>
      </w:numPr>
      <w:adjustRightInd w:val="0"/>
      <w:snapToGrid w:val="0"/>
      <w:spacing w:before="50" w:beforeLines="0" w:beforeAutospacing="0"/>
      <w:outlineLvl w:val="2"/>
    </w:pPr>
    <w:rPr>
      <w:rFonts w:ascii="Arial Narrow" w:hAnsi="Arial Narrow" w:eastAsia="仿宋_GB2312" w:cs="Times New Roman"/>
      <w:sz w:val="28"/>
    </w:rPr>
  </w:style>
  <w:style w:type="paragraph" w:customStyle="1" w:styleId="80">
    <w:name w:val="正文_1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 Char1 Char Char Char Char Char Char"/>
    <w:basedOn w:val="1"/>
    <w:autoRedefine/>
    <w:qFormat/>
    <w:uiPriority w:val="0"/>
    <w:rPr>
      <w:rFonts w:ascii="Times New Roman" w:hAnsi="Times New Roman" w:eastAsia="宋体" w:cs="Times New Roman"/>
    </w:rPr>
  </w:style>
  <w:style w:type="paragraph" w:customStyle="1" w:styleId="8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3">
    <w:name w:val=" Char1"/>
    <w:basedOn w:val="1"/>
    <w:autoRedefine/>
    <w:qFormat/>
    <w:uiPriority w:val="0"/>
    <w:rPr>
      <w:rFonts w:ascii="Tahoma" w:hAnsi="Tahoma" w:eastAsia="宋体" w:cs="Times New Roman"/>
      <w:sz w:val="24"/>
    </w:rPr>
  </w:style>
  <w:style w:type="paragraph" w:customStyle="1" w:styleId="84">
    <w:name w:val="样式 标题 1 + 加粗"/>
    <w:basedOn w:val="3"/>
    <w:autoRedefine/>
    <w:qFormat/>
    <w:uiPriority w:val="0"/>
    <w:pPr>
      <w:keepLines w:val="0"/>
      <w:numPr>
        <w:ilvl w:val="0"/>
        <w:numId w:val="0"/>
      </w:numPr>
      <w:spacing w:before="0" w:beforeLines="0" w:beforeAutospacing="0" w:after="0" w:afterLines="0" w:afterAutospacing="0" w:line="480" w:lineRule="exact"/>
    </w:pPr>
    <w:rPr>
      <w:rFonts w:ascii="Times New Roman" w:hAnsi="Times New Roman" w:eastAsia="宋体" w:cs="Times New Roman"/>
      <w:kern w:val="2"/>
      <w:sz w:val="32"/>
    </w:rPr>
  </w:style>
  <w:style w:type="paragraph" w:customStyle="1" w:styleId="85">
    <w:name w:val=" Char"/>
    <w:basedOn w:val="1"/>
    <w:autoRedefine/>
    <w:qFormat/>
    <w:uiPriority w:val="0"/>
    <w:pPr>
      <w:widowControl/>
      <w:spacing w:after="160" w:afterLines="0" w:afterAutospacing="0" w:line="240" w:lineRule="exact"/>
      <w:jc w:val="left"/>
    </w:pPr>
    <w:rPr>
      <w:rFonts w:ascii="Verdana" w:hAnsi="Verdana" w:eastAsia="宋体" w:cs="Times New Roman"/>
      <w:kern w:val="0"/>
      <w:sz w:val="20"/>
      <w:lang w:eastAsia="en-US"/>
    </w:rPr>
  </w:style>
  <w:style w:type="paragraph" w:customStyle="1" w:styleId="86">
    <w:name w:val="1"/>
    <w:basedOn w:val="1"/>
    <w:autoRedefine/>
    <w:qFormat/>
    <w:uiPriority w:val="0"/>
    <w:rPr>
      <w:rFonts w:ascii="Times New Roman" w:hAnsi="Times New Roman" w:eastAsia="宋体" w:cs="Times New Roman"/>
    </w:rPr>
  </w:style>
  <w:style w:type="paragraph" w:customStyle="1" w:styleId="87">
    <w:name w:val="Char"/>
    <w:basedOn w:val="1"/>
    <w:autoRedefine/>
    <w:qFormat/>
    <w:uiPriority w:val="0"/>
    <w:pPr>
      <w:tabs>
        <w:tab w:val="left" w:pos="1200"/>
      </w:tabs>
      <w:ind w:left="1200" w:hanging="360"/>
      <w:jc w:val="left"/>
    </w:pPr>
    <w:rPr>
      <w:rFonts w:ascii="Times New Roman" w:hAnsi="Times New Roman" w:eastAsia="宋体" w:cs="Times New Roman"/>
      <w:sz w:val="24"/>
    </w:rPr>
  </w:style>
  <w:style w:type="paragraph" w:customStyle="1" w:styleId="88">
    <w:name w:val=" Char Char Char Char Char Char1 Char"/>
    <w:basedOn w:val="1"/>
    <w:autoRedefine/>
    <w:qFormat/>
    <w:uiPriority w:val="0"/>
    <w:rPr>
      <w:rFonts w:ascii="Times New Roman" w:hAnsi="Times New Roman" w:eastAsia="宋体" w:cs="Times New Roman"/>
    </w:rPr>
  </w:style>
  <w:style w:type="paragraph" w:customStyle="1" w:styleId="89">
    <w:name w:val="海洋标题"/>
    <w:basedOn w:val="1"/>
    <w:autoRedefine/>
    <w:qFormat/>
    <w:uiPriority w:val="0"/>
    <w:pPr>
      <w:widowControl/>
      <w:spacing w:line="360" w:lineRule="auto"/>
    </w:pPr>
    <w:rPr>
      <w:rFonts w:ascii="仿宋_GB2312" w:hAnsi="华文中宋" w:eastAsia="仿宋_GB2312" w:cs="Times New Roman"/>
      <w:b/>
      <w:sz w:val="24"/>
    </w:rPr>
  </w:style>
  <w:style w:type="paragraph" w:customStyle="1" w:styleId="90">
    <w:name w:val=" Char2 Char Char Char Char Char Char Char Char Char Char Char Char"/>
    <w:basedOn w:val="1"/>
    <w:autoRedefine/>
    <w:qFormat/>
    <w:uiPriority w:val="0"/>
    <w:pPr>
      <w:spacing w:line="360" w:lineRule="auto"/>
      <w:ind w:firstLine="200" w:firstLineChars="200"/>
    </w:pPr>
    <w:rPr>
      <w:rFonts w:ascii="Tahoma" w:hAnsi="Tahoma" w:eastAsia="宋体" w:cs="Times New Roman"/>
      <w:sz w:val="24"/>
    </w:rPr>
  </w:style>
  <w:style w:type="paragraph" w:customStyle="1" w:styleId="91">
    <w:name w:val="p0"/>
    <w:basedOn w:val="1"/>
    <w:autoRedefine/>
    <w:qFormat/>
    <w:uiPriority w:val="0"/>
    <w:pPr>
      <w:widowControl/>
    </w:pPr>
    <w:rPr>
      <w:rFonts w:ascii="Times New Roman" w:hAnsi="Times New Roman" w:eastAsia="宋体" w:cs="Times New Roman"/>
      <w:kern w:val="0"/>
    </w:rPr>
  </w:style>
  <w:style w:type="paragraph" w:customStyle="1" w:styleId="92">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val="none" w:color="000000"/>
      <w:lang w:val="en-US" w:eastAsia="zh-CN" w:bidi="ar-SA"/>
    </w:rPr>
  </w:style>
  <w:style w:type="paragraph" w:customStyle="1" w:styleId="93">
    <w:name w:val="List Paragraph1"/>
    <w:basedOn w:val="1"/>
    <w:autoRedefine/>
    <w:qFormat/>
    <w:uiPriority w:val="0"/>
    <w:pPr>
      <w:ind w:firstLine="420" w:firstLineChars="200"/>
    </w:pPr>
    <w:rPr>
      <w:rFonts w:ascii="Calibri" w:hAnsi="Calibri" w:eastAsia="宋体" w:cs="Times New Roman"/>
    </w:rPr>
  </w:style>
  <w:style w:type="paragraph" w:customStyle="1" w:styleId="94">
    <w:name w:val="Pa4"/>
    <w:basedOn w:val="82"/>
    <w:next w:val="82"/>
    <w:autoRedefine/>
    <w:qFormat/>
    <w:uiPriority w:val="0"/>
    <w:pPr>
      <w:spacing w:line="181" w:lineRule="atLeast"/>
    </w:pPr>
    <w:rPr>
      <w:rFonts w:ascii="黑体" w:hAnsi="Times New Roman" w:eastAsia="黑体" w:cs="Times New Roman"/>
      <w:color w:val="auto"/>
    </w:rPr>
  </w:style>
  <w:style w:type="paragraph" w:customStyle="1" w:styleId="95">
    <w:name w:val="±íÉí"/>
    <w:basedOn w:val="1"/>
    <w:autoRedefine/>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96">
    <w:name w:val="paragraph1"/>
    <w:basedOn w:val="1"/>
    <w:autoRedefine/>
    <w:qFormat/>
    <w:uiPriority w:val="0"/>
    <w:pPr>
      <w:spacing w:before="62" w:beforeLines="20" w:beforeAutospacing="0" w:after="93" w:afterLines="30" w:afterAutospacing="0" w:line="360" w:lineRule="auto"/>
      <w:ind w:firstLine="200" w:firstLineChars="200"/>
    </w:pPr>
    <w:rPr>
      <w:rFonts w:ascii="Times New Roman" w:hAnsi="Times New Roman" w:eastAsia="宋体" w:cs="Times New Roman"/>
      <w:sz w:val="24"/>
    </w:rPr>
  </w:style>
  <w:style w:type="paragraph" w:customStyle="1" w:styleId="97">
    <w:name w:val="标准"/>
    <w:basedOn w:val="1"/>
    <w:autoRedefine/>
    <w:qFormat/>
    <w:uiPriority w:val="0"/>
    <w:pPr>
      <w:spacing w:line="360" w:lineRule="auto"/>
      <w:ind w:firstLine="200" w:firstLineChars="200"/>
    </w:pPr>
    <w:rPr>
      <w:rFonts w:ascii="Times New Roman" w:hAnsi="Times New Roman" w:eastAsia="宋体" w:cs="宋体"/>
    </w:rPr>
  </w:style>
  <w:style w:type="character" w:customStyle="1" w:styleId="98">
    <w:name w:val="font11"/>
    <w:basedOn w:val="34"/>
    <w:autoRedefine/>
    <w:qFormat/>
    <w:uiPriority w:val="0"/>
    <w:rPr>
      <w:rFonts w:hint="eastAsia" w:ascii="宋体" w:hAnsi="宋体" w:eastAsia="宋体" w:cs="宋体"/>
      <w:color w:val="000000"/>
      <w:sz w:val="24"/>
      <w:szCs w:val="24"/>
      <w:u w:val="none"/>
    </w:rPr>
  </w:style>
  <w:style w:type="paragraph" w:styleId="99">
    <w:name w:val="List Paragraph"/>
    <w:basedOn w:val="1"/>
    <w:autoRedefine/>
    <w:qFormat/>
    <w:uiPriority w:val="34"/>
    <w:pPr>
      <w:ind w:firstLine="420" w:firstLineChars="200"/>
    </w:pPr>
    <w:rPr>
      <w:rFonts w:ascii="等线" w:hAnsi="等线" w:eastAsia="等线" w:cs="Times New Roman"/>
      <w:szCs w:val="22"/>
    </w:rPr>
  </w:style>
  <w:style w:type="paragraph" w:customStyle="1" w:styleId="100">
    <w:name w:val="null3"/>
    <w:autoRedefine/>
    <w:qFormat/>
    <w:uiPriority w:val="0"/>
    <w:rPr>
      <w:rFonts w:hint="eastAsia" w:ascii="Calibri" w:hAnsi="Calibri" w:eastAsia="宋体" w:cs="Times New Roman"/>
      <w:lang w:val="en-US" w:eastAsia="zh-Hans"/>
    </w:rPr>
  </w:style>
  <w:style w:type="character" w:customStyle="1" w:styleId="101">
    <w:name w:val="font61"/>
    <w:basedOn w:val="34"/>
    <w:autoRedefine/>
    <w:qFormat/>
    <w:uiPriority w:val="0"/>
    <w:rPr>
      <w:rFonts w:hint="eastAsia" w:ascii="宋体" w:hAnsi="宋体" w:eastAsia="宋体" w:cs="宋体"/>
      <w:color w:val="FF0000"/>
      <w:sz w:val="24"/>
      <w:szCs w:val="24"/>
      <w:u w:val="none"/>
    </w:rPr>
  </w:style>
  <w:style w:type="character" w:customStyle="1" w:styleId="102">
    <w:name w:val="font41"/>
    <w:basedOn w:val="34"/>
    <w:autoRedefine/>
    <w:qFormat/>
    <w:uiPriority w:val="0"/>
    <w:rPr>
      <w:rFonts w:hint="eastAsia" w:ascii="宋体" w:hAnsi="宋体" w:eastAsia="宋体" w:cs="宋体"/>
      <w:b/>
      <w:bCs/>
      <w:color w:val="000000"/>
      <w:sz w:val="24"/>
      <w:szCs w:val="24"/>
      <w:u w:val="none"/>
    </w:rPr>
  </w:style>
  <w:style w:type="character" w:customStyle="1" w:styleId="103">
    <w:name w:val="font71"/>
    <w:basedOn w:val="34"/>
    <w:autoRedefine/>
    <w:qFormat/>
    <w:uiPriority w:val="0"/>
    <w:rPr>
      <w:rFonts w:hint="eastAsia" w:ascii="宋体" w:hAnsi="宋体" w:eastAsia="宋体" w:cs="宋体"/>
      <w:b/>
      <w:bCs/>
      <w:color w:val="000000"/>
      <w:sz w:val="24"/>
      <w:szCs w:val="24"/>
      <w:u w:val="none"/>
      <w:vertAlign w:val="superscript"/>
    </w:rPr>
  </w:style>
  <w:style w:type="paragraph" w:customStyle="1" w:styleId="104">
    <w:name w:val="Body Text First Indent1"/>
    <w:basedOn w:val="14"/>
    <w:autoRedefine/>
    <w:qFormat/>
    <w:uiPriority w:val="0"/>
    <w:pPr>
      <w:tabs>
        <w:tab w:val="center" w:pos="4153"/>
        <w:tab w:val="right" w:pos="8306"/>
      </w:tabs>
      <w:ind w:firstLine="420" w:firstLineChars="100"/>
    </w:pPr>
  </w:style>
  <w:style w:type="paragraph" w:customStyle="1" w:styleId="10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06">
    <w:name w:val="Table Text"/>
    <w:basedOn w:val="1"/>
    <w:semiHidden/>
    <w:qFormat/>
    <w:uiPriority w:val="0"/>
    <w:rPr>
      <w:rFonts w:ascii="宋体" w:hAnsi="宋体" w:eastAsia="宋体" w:cs="宋体"/>
      <w:sz w:val="24"/>
      <w:szCs w:val="24"/>
      <w:lang w:val="en-US" w:eastAsia="en-US" w:bidi="ar-SA"/>
    </w:rPr>
  </w:style>
  <w:style w:type="table" w:customStyle="1" w:styleId="107">
    <w:name w:val="Table Normal"/>
    <w:unhideWhenUsed/>
    <w:qFormat/>
    <w:uiPriority w:val="0"/>
    <w:tblPr>
      <w:tblCellMar>
        <w:top w:w="0" w:type="dxa"/>
        <w:left w:w="0" w:type="dxa"/>
        <w:bottom w:w="0" w:type="dxa"/>
        <w:right w:w="0" w:type="dxa"/>
      </w:tblCellMar>
    </w:tblPr>
  </w:style>
  <w:style w:type="paragraph" w:customStyle="1" w:styleId="108">
    <w:name w:val="Table Paragraph"/>
    <w:basedOn w:val="1"/>
    <w:autoRedefine/>
    <w:qFormat/>
    <w:uiPriority w:val="1"/>
    <w:rPr>
      <w:rFonts w:ascii="宋体" w:hAnsi="宋体" w:cs="宋体"/>
      <w:lang w:val="zh-CN" w:bidi="zh-CN"/>
    </w:rPr>
  </w:style>
  <w:style w:type="paragraph" w:customStyle="1" w:styleId="109">
    <w:name w:val="报告正文"/>
    <w:basedOn w:val="1"/>
    <w:autoRedefine/>
    <w:qFormat/>
    <w:uiPriority w:val="0"/>
    <w:pPr>
      <w:spacing w:after="120" w:line="300" w:lineRule="auto"/>
      <w:ind w:firstLine="420" w:firstLineChars="20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8804</Words>
  <Characters>9498</Characters>
  <Lines>357</Lines>
  <Paragraphs>100</Paragraphs>
  <TotalTime>9</TotalTime>
  <ScaleCrop>false</ScaleCrop>
  <LinksUpToDate>false</LinksUpToDate>
  <CharactersWithSpaces>9574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2023-05-12T03:49:00Z</dcterms:created>
  <dc:creator>福建鼎御招标有限公司</dc:creator>
  <cp:lastModifiedBy>L</cp:lastModifiedBy>
  <cp:lastPrinted>2025-10-14T01:26:00Z</cp:lastPrinted>
  <dcterms:modified xsi:type="dcterms:W3CDTF">2026-01-29T07:15:14Z</dcterms:modified>
  <dc:subject>公开招标文件</dc:subject>
  <dc:title>南平市铁路旅游主题列车改造项目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990B2A56AC764AA3B4E9F10798CC7272_13</vt:lpwstr>
  </property>
  <property fmtid="{D5CDD505-2E9C-101B-9397-08002B2CF9AE}" pid="4" name="KSOTemplateDocerSaveRecord">
    <vt:lpwstr>eyJoZGlkIjoiMTM1NmYxYjY2ZDI0M2M1YTI2YmY2MmM4NzhiYmNkODEiLCJ1c2VySWQiOiI5OTIyMTc5NDUifQ==</vt:lpwstr>
  </property>
</Properties>
</file>